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A274B" w14:textId="6B747853" w:rsidR="003A2394" w:rsidRDefault="000F246F" w:rsidP="00A2184B">
      <w:pPr>
        <w:jc w:val="both"/>
        <w:rPr>
          <w:rFonts w:ascii="Arial" w:hAnsi="Arial" w:cs="Arial"/>
          <w:b/>
          <w:sz w:val="24"/>
          <w:szCs w:val="36"/>
        </w:rPr>
      </w:pPr>
      <w:r>
        <w:rPr>
          <w:rFonts w:ascii="Arial" w:hAnsi="Arial" w:cs="Arial"/>
          <w:b/>
          <w:sz w:val="24"/>
          <w:szCs w:val="36"/>
        </w:rPr>
        <w:t>E</w:t>
      </w:r>
      <w:r w:rsidR="003A2394" w:rsidRPr="00FA5381">
        <w:rPr>
          <w:rFonts w:ascii="Arial" w:hAnsi="Arial" w:cs="Arial"/>
          <w:b/>
          <w:sz w:val="24"/>
          <w:szCs w:val="36"/>
        </w:rPr>
        <w:t xml:space="preserve">stabelecimento de valores de </w:t>
      </w:r>
      <w:r w:rsidR="006B1D27" w:rsidRPr="006B1D27">
        <w:rPr>
          <w:rFonts w:ascii="Arial" w:hAnsi="Arial" w:cs="Arial"/>
          <w:b/>
          <w:i/>
          <w:sz w:val="24"/>
          <w:szCs w:val="36"/>
        </w:rPr>
        <w:t>background</w:t>
      </w:r>
      <w:r w:rsidR="003A2394" w:rsidRPr="00FA5381">
        <w:rPr>
          <w:rFonts w:ascii="Arial" w:hAnsi="Arial" w:cs="Arial"/>
          <w:b/>
          <w:sz w:val="24"/>
          <w:szCs w:val="36"/>
        </w:rPr>
        <w:t xml:space="preserve"> </w:t>
      </w:r>
      <w:r w:rsidR="00917D94" w:rsidRPr="00FA5381">
        <w:rPr>
          <w:rFonts w:ascii="Arial" w:hAnsi="Arial" w:cs="Arial"/>
          <w:b/>
          <w:sz w:val="24"/>
          <w:szCs w:val="36"/>
        </w:rPr>
        <w:t xml:space="preserve">geoquímico </w:t>
      </w:r>
      <w:r w:rsidR="003A2394" w:rsidRPr="00FA5381">
        <w:rPr>
          <w:rFonts w:ascii="Arial" w:hAnsi="Arial" w:cs="Arial"/>
          <w:b/>
          <w:sz w:val="24"/>
          <w:szCs w:val="36"/>
        </w:rPr>
        <w:t xml:space="preserve">de parâmetros </w:t>
      </w:r>
      <w:r w:rsidR="00956653">
        <w:rPr>
          <w:rFonts w:ascii="Arial" w:hAnsi="Arial" w:cs="Arial"/>
          <w:b/>
          <w:sz w:val="24"/>
          <w:szCs w:val="36"/>
        </w:rPr>
        <w:t>relacionados a contaminação por carvão</w:t>
      </w:r>
    </w:p>
    <w:p w14:paraId="23E8D622" w14:textId="013AD53E" w:rsidR="000F246F" w:rsidRPr="000F246F" w:rsidRDefault="000F246F" w:rsidP="00A2184B">
      <w:pPr>
        <w:jc w:val="both"/>
        <w:rPr>
          <w:rFonts w:ascii="Arial" w:hAnsi="Arial" w:cs="Arial"/>
          <w:sz w:val="24"/>
          <w:szCs w:val="36"/>
          <w:lang w:val="en-US"/>
        </w:rPr>
      </w:pPr>
      <w:r w:rsidRPr="000F246F">
        <w:rPr>
          <w:rFonts w:ascii="Arial" w:hAnsi="Arial" w:cs="Arial"/>
          <w:sz w:val="24"/>
          <w:szCs w:val="36"/>
          <w:lang w:val="en-US"/>
        </w:rPr>
        <w:t xml:space="preserve">Establishment of geochemical </w:t>
      </w:r>
      <w:r w:rsidR="006B1D27" w:rsidRPr="006B1D27">
        <w:rPr>
          <w:rFonts w:ascii="Arial" w:hAnsi="Arial" w:cs="Arial"/>
          <w:i/>
          <w:sz w:val="24"/>
          <w:szCs w:val="36"/>
          <w:lang w:val="en-US"/>
        </w:rPr>
        <w:t>background</w:t>
      </w:r>
      <w:r w:rsidRPr="000F246F">
        <w:rPr>
          <w:rFonts w:ascii="Arial" w:hAnsi="Arial" w:cs="Arial"/>
          <w:sz w:val="24"/>
          <w:szCs w:val="36"/>
          <w:lang w:val="en-US"/>
        </w:rPr>
        <w:t xml:space="preserve"> values of parameters related to coal contamination</w:t>
      </w:r>
    </w:p>
    <w:p w14:paraId="62FA521F" w14:textId="77777777" w:rsidR="00121E91" w:rsidRDefault="00121E91" w:rsidP="009B437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Resumo</w:t>
      </w:r>
    </w:p>
    <w:p w14:paraId="29722E6D" w14:textId="563FCB9C" w:rsidR="000C66C5" w:rsidRPr="002464F0" w:rsidRDefault="00D170AF" w:rsidP="000C6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64F0">
        <w:rPr>
          <w:rFonts w:ascii="Arial" w:hAnsi="Arial" w:cs="Arial"/>
          <w:sz w:val="24"/>
          <w:szCs w:val="24"/>
        </w:rPr>
        <w:t xml:space="preserve">A cidade de Criciúma foi impactada por décadas de exploração </w:t>
      </w:r>
      <w:r w:rsidR="0011465A" w:rsidRPr="002464F0">
        <w:rPr>
          <w:rFonts w:ascii="Arial" w:hAnsi="Arial" w:cs="Arial"/>
          <w:sz w:val="24"/>
          <w:szCs w:val="24"/>
        </w:rPr>
        <w:t xml:space="preserve">de carvão </w:t>
      </w:r>
      <w:r w:rsidRPr="002464F0">
        <w:rPr>
          <w:rFonts w:ascii="Arial" w:hAnsi="Arial" w:cs="Arial"/>
          <w:sz w:val="24"/>
          <w:szCs w:val="24"/>
        </w:rPr>
        <w:t>e deposição de rejeitos de forma inadequada.</w:t>
      </w:r>
      <w:r w:rsidR="00D40A29" w:rsidRPr="002464F0">
        <w:rPr>
          <w:rFonts w:ascii="Arial" w:hAnsi="Arial" w:cs="Arial"/>
          <w:sz w:val="24"/>
          <w:szCs w:val="24"/>
        </w:rPr>
        <w:t xml:space="preserve"> Estas atividades interferem diretamente sobre os sistemas naturais, ocasionando a contaminação dos recursos hídricos subterrâneos e superficiais por meio de drenagem ácida de mina (DAM). </w:t>
      </w:r>
      <w:r w:rsidR="00F15F05">
        <w:rPr>
          <w:rFonts w:ascii="Arial" w:hAnsi="Arial" w:cs="Arial"/>
          <w:sz w:val="24"/>
          <w:szCs w:val="24"/>
        </w:rPr>
        <w:t>A</w:t>
      </w:r>
      <w:r w:rsidR="00625456" w:rsidRPr="002464F0">
        <w:rPr>
          <w:rFonts w:ascii="Arial" w:hAnsi="Arial" w:cs="Arial"/>
          <w:sz w:val="24"/>
          <w:szCs w:val="24"/>
        </w:rPr>
        <w:t xml:space="preserve"> definição de valores de </w:t>
      </w:r>
      <w:r w:rsidR="006B1D27" w:rsidRPr="006B1D27">
        <w:rPr>
          <w:rFonts w:ascii="Arial" w:hAnsi="Arial" w:cs="Arial"/>
          <w:i/>
          <w:sz w:val="24"/>
          <w:szCs w:val="24"/>
        </w:rPr>
        <w:t>background</w:t>
      </w:r>
      <w:r w:rsidR="00625456" w:rsidRPr="002464F0">
        <w:rPr>
          <w:rFonts w:ascii="Arial" w:hAnsi="Arial" w:cs="Arial"/>
          <w:sz w:val="24"/>
          <w:szCs w:val="24"/>
        </w:rPr>
        <w:t xml:space="preserve"> geoquímico </w:t>
      </w:r>
      <w:r w:rsidR="00F61128">
        <w:rPr>
          <w:rFonts w:ascii="Arial" w:hAnsi="Arial" w:cs="Arial"/>
          <w:sz w:val="24"/>
          <w:szCs w:val="24"/>
        </w:rPr>
        <w:t>é</w:t>
      </w:r>
      <w:r w:rsidR="00D40A29" w:rsidRPr="002464F0">
        <w:rPr>
          <w:rFonts w:ascii="Arial" w:hAnsi="Arial" w:cs="Arial"/>
          <w:sz w:val="24"/>
          <w:szCs w:val="24"/>
        </w:rPr>
        <w:t xml:space="preserve"> uma estratégia para quantificar e qualificar o impacto das atividades de mineração sobre os recursos naturais. O presente trabalho objetivou estabelecer valores de </w:t>
      </w:r>
      <w:r w:rsidR="006B1D27" w:rsidRPr="006B1D27">
        <w:rPr>
          <w:rFonts w:ascii="Arial" w:hAnsi="Arial" w:cs="Arial"/>
          <w:i/>
          <w:sz w:val="24"/>
          <w:szCs w:val="24"/>
        </w:rPr>
        <w:t>background</w:t>
      </w:r>
      <w:r w:rsidR="00D40A29" w:rsidRPr="002464F0">
        <w:rPr>
          <w:rFonts w:ascii="Arial" w:hAnsi="Arial" w:cs="Arial"/>
          <w:sz w:val="24"/>
          <w:szCs w:val="24"/>
        </w:rPr>
        <w:t xml:space="preserve"> geoquím</w:t>
      </w:r>
      <w:r w:rsidR="00B81D50">
        <w:rPr>
          <w:rFonts w:ascii="Arial" w:hAnsi="Arial" w:cs="Arial"/>
          <w:sz w:val="24"/>
          <w:szCs w:val="24"/>
        </w:rPr>
        <w:t>ico na água subterrânea oriunda</w:t>
      </w:r>
      <w:r w:rsidR="00127892">
        <w:rPr>
          <w:rFonts w:ascii="Arial" w:hAnsi="Arial" w:cs="Arial"/>
          <w:sz w:val="24"/>
          <w:szCs w:val="24"/>
        </w:rPr>
        <w:t xml:space="preserve"> de nascentes distribuídas no município de Criciúma/SC</w:t>
      </w:r>
      <w:r w:rsidR="00D40A29" w:rsidRPr="002464F0">
        <w:rPr>
          <w:rFonts w:ascii="Arial" w:hAnsi="Arial" w:cs="Arial"/>
          <w:sz w:val="24"/>
          <w:szCs w:val="24"/>
        </w:rPr>
        <w:t>.</w:t>
      </w:r>
      <w:r w:rsidR="00867B95" w:rsidRPr="002464F0">
        <w:rPr>
          <w:rFonts w:ascii="Arial" w:hAnsi="Arial" w:cs="Arial"/>
          <w:sz w:val="24"/>
          <w:szCs w:val="24"/>
        </w:rPr>
        <w:t xml:space="preserve"> Os dados de qualidade de água foram avaliado</w:t>
      </w:r>
      <w:r w:rsidR="00DF0447">
        <w:rPr>
          <w:rFonts w:ascii="Arial" w:hAnsi="Arial" w:cs="Arial"/>
          <w:sz w:val="24"/>
          <w:szCs w:val="24"/>
        </w:rPr>
        <w:t>s</w:t>
      </w:r>
      <w:r w:rsidR="00867B95" w:rsidRPr="002464F0">
        <w:rPr>
          <w:rFonts w:ascii="Arial" w:hAnsi="Arial" w:cs="Arial"/>
          <w:sz w:val="24"/>
          <w:szCs w:val="24"/>
        </w:rPr>
        <w:t xml:space="preserve"> utilizando-se </w:t>
      </w:r>
      <w:r w:rsidR="0011465A">
        <w:rPr>
          <w:rFonts w:ascii="Arial" w:hAnsi="Arial" w:cs="Arial"/>
          <w:sz w:val="24"/>
          <w:szCs w:val="24"/>
        </w:rPr>
        <w:t>dos</w:t>
      </w:r>
      <w:r w:rsidR="00867B95" w:rsidRPr="002464F0">
        <w:rPr>
          <w:rFonts w:ascii="Arial" w:hAnsi="Arial" w:cs="Arial"/>
          <w:sz w:val="24"/>
          <w:szCs w:val="24"/>
        </w:rPr>
        <w:t xml:space="preserve"> método</w:t>
      </w:r>
      <w:r w:rsidR="0011465A">
        <w:rPr>
          <w:rFonts w:ascii="Arial" w:hAnsi="Arial" w:cs="Arial"/>
          <w:sz w:val="24"/>
          <w:szCs w:val="24"/>
        </w:rPr>
        <w:t>s</w:t>
      </w:r>
      <w:r w:rsidR="00867B95" w:rsidRPr="002464F0">
        <w:rPr>
          <w:rFonts w:ascii="Arial" w:hAnsi="Arial" w:cs="Arial"/>
          <w:sz w:val="24"/>
          <w:szCs w:val="24"/>
        </w:rPr>
        <w:t xml:space="preserve"> EDA (</w:t>
      </w:r>
      <w:r w:rsidR="00867B95" w:rsidRPr="00127892">
        <w:rPr>
          <w:rFonts w:ascii="Arial" w:hAnsi="Arial" w:cs="Arial"/>
          <w:i/>
          <w:sz w:val="24"/>
          <w:szCs w:val="24"/>
        </w:rPr>
        <w:t>Exploratory Data Analysis</w:t>
      </w:r>
      <w:r w:rsidR="00867B95" w:rsidRPr="002464F0">
        <w:rPr>
          <w:rFonts w:ascii="Arial" w:hAnsi="Arial" w:cs="Arial"/>
          <w:sz w:val="24"/>
          <w:szCs w:val="24"/>
        </w:rPr>
        <w:t xml:space="preserve">) e de representação de frequências cumulativas. </w:t>
      </w:r>
      <w:r w:rsidR="00DF0447">
        <w:rPr>
          <w:rFonts w:ascii="Arial" w:hAnsi="Arial" w:cs="Arial"/>
          <w:sz w:val="24"/>
          <w:szCs w:val="24"/>
        </w:rPr>
        <w:t xml:space="preserve">Desta forma, o trabalho </w:t>
      </w:r>
      <w:r w:rsidR="00867B95" w:rsidRPr="002464F0">
        <w:rPr>
          <w:rFonts w:ascii="Arial" w:hAnsi="Arial" w:cs="Arial"/>
          <w:sz w:val="24"/>
          <w:szCs w:val="24"/>
        </w:rPr>
        <w:t xml:space="preserve">permitiu </w:t>
      </w:r>
      <w:r w:rsidR="0011465A">
        <w:rPr>
          <w:rFonts w:ascii="Arial" w:hAnsi="Arial" w:cs="Arial"/>
          <w:sz w:val="24"/>
          <w:szCs w:val="24"/>
        </w:rPr>
        <w:t xml:space="preserve">determinar </w:t>
      </w:r>
      <w:r w:rsidR="00867B95" w:rsidRPr="002464F0">
        <w:rPr>
          <w:rFonts w:ascii="Arial" w:hAnsi="Arial" w:cs="Arial"/>
          <w:sz w:val="24"/>
          <w:szCs w:val="24"/>
        </w:rPr>
        <w:t xml:space="preserve">os valores de </w:t>
      </w:r>
      <w:r w:rsidR="006B1D27" w:rsidRPr="00127892">
        <w:rPr>
          <w:rFonts w:ascii="Arial" w:hAnsi="Arial" w:cs="Arial"/>
          <w:i/>
          <w:sz w:val="24"/>
          <w:szCs w:val="24"/>
        </w:rPr>
        <w:t>background</w:t>
      </w:r>
      <w:r w:rsidR="00867B95" w:rsidRPr="002464F0">
        <w:rPr>
          <w:rFonts w:ascii="Arial" w:hAnsi="Arial" w:cs="Arial"/>
          <w:sz w:val="24"/>
          <w:szCs w:val="24"/>
        </w:rPr>
        <w:t xml:space="preserve"> para os parâmetros analíticos pH, Ferro, Manganês e Sulfato</w:t>
      </w:r>
      <w:r w:rsidR="00127892">
        <w:rPr>
          <w:rFonts w:ascii="Arial" w:hAnsi="Arial" w:cs="Arial"/>
          <w:sz w:val="24"/>
          <w:szCs w:val="24"/>
        </w:rPr>
        <w:t xml:space="preserve">, quando </w:t>
      </w:r>
      <w:r w:rsidR="00127892" w:rsidRPr="00127892">
        <w:rPr>
          <w:rFonts w:ascii="Arial" w:hAnsi="Arial" w:cs="Arial"/>
          <w:sz w:val="24"/>
          <w:szCs w:val="24"/>
        </w:rPr>
        <w:t>ficou atestado que valores para pH encontrados dentro do intervalo que vai de 5,5 a 7,9 podem ser considerados n</w:t>
      </w:r>
      <w:r w:rsidR="00EC1887">
        <w:rPr>
          <w:rFonts w:ascii="Arial" w:hAnsi="Arial" w:cs="Arial"/>
          <w:sz w:val="24"/>
          <w:szCs w:val="24"/>
        </w:rPr>
        <w:t>aturais</w:t>
      </w:r>
      <w:r w:rsidR="00127892" w:rsidRPr="00127892">
        <w:rPr>
          <w:rFonts w:ascii="Arial" w:hAnsi="Arial" w:cs="Arial"/>
          <w:sz w:val="24"/>
          <w:szCs w:val="24"/>
        </w:rPr>
        <w:t xml:space="preserve"> para as águas subterrâneas. </w:t>
      </w:r>
      <w:r w:rsidR="00F61128">
        <w:rPr>
          <w:rFonts w:ascii="Arial" w:hAnsi="Arial" w:cs="Arial"/>
          <w:sz w:val="24"/>
          <w:szCs w:val="24"/>
        </w:rPr>
        <w:t>F</w:t>
      </w:r>
      <w:r w:rsidR="00127892" w:rsidRPr="00127892">
        <w:rPr>
          <w:rFonts w:ascii="Arial" w:hAnsi="Arial" w:cs="Arial"/>
          <w:sz w:val="24"/>
          <w:szCs w:val="24"/>
        </w:rPr>
        <w:t xml:space="preserve">erro e manganês apresentaram concentrações </w:t>
      </w:r>
      <w:r w:rsidR="00EC1887">
        <w:rPr>
          <w:rFonts w:ascii="Arial" w:hAnsi="Arial" w:cs="Arial"/>
          <w:sz w:val="24"/>
          <w:szCs w:val="24"/>
        </w:rPr>
        <w:t>superiores</w:t>
      </w:r>
      <w:r w:rsidR="00127892" w:rsidRPr="00127892">
        <w:rPr>
          <w:rFonts w:ascii="Arial" w:hAnsi="Arial" w:cs="Arial"/>
          <w:sz w:val="24"/>
          <w:szCs w:val="24"/>
        </w:rPr>
        <w:t xml:space="preserve"> de </w:t>
      </w:r>
      <w:r w:rsidR="00127892" w:rsidRPr="00CE1923">
        <w:rPr>
          <w:rFonts w:ascii="Arial" w:hAnsi="Arial" w:cs="Arial"/>
          <w:i/>
          <w:sz w:val="24"/>
          <w:szCs w:val="24"/>
        </w:rPr>
        <w:t>background</w:t>
      </w:r>
      <w:r w:rsidR="00127892" w:rsidRPr="00127892">
        <w:rPr>
          <w:rFonts w:ascii="Arial" w:hAnsi="Arial" w:cs="Arial"/>
          <w:sz w:val="24"/>
          <w:szCs w:val="24"/>
        </w:rPr>
        <w:t xml:space="preserve"> de 2,58 e 0,30mg/L respectivamente</w:t>
      </w:r>
      <w:r w:rsidR="00127892">
        <w:rPr>
          <w:rFonts w:ascii="Arial" w:hAnsi="Arial" w:cs="Arial"/>
          <w:sz w:val="24"/>
          <w:szCs w:val="24"/>
        </w:rPr>
        <w:t xml:space="preserve">, já </w:t>
      </w:r>
      <w:r w:rsidR="00127892" w:rsidRPr="00127892">
        <w:rPr>
          <w:rFonts w:ascii="Arial" w:hAnsi="Arial" w:cs="Arial"/>
          <w:sz w:val="24"/>
          <w:szCs w:val="24"/>
        </w:rPr>
        <w:t>sulfato</w:t>
      </w:r>
      <w:r w:rsidR="00127892">
        <w:rPr>
          <w:rFonts w:ascii="Arial" w:hAnsi="Arial" w:cs="Arial"/>
          <w:sz w:val="24"/>
          <w:szCs w:val="24"/>
        </w:rPr>
        <w:t xml:space="preserve"> apresentou</w:t>
      </w:r>
      <w:r w:rsidR="00127892" w:rsidRPr="00127892">
        <w:rPr>
          <w:rFonts w:ascii="Arial" w:hAnsi="Arial" w:cs="Arial"/>
          <w:sz w:val="24"/>
          <w:szCs w:val="24"/>
        </w:rPr>
        <w:t xml:space="preserve"> </w:t>
      </w:r>
      <w:r w:rsidR="0011465A">
        <w:rPr>
          <w:rFonts w:ascii="Arial" w:hAnsi="Arial" w:cs="Arial"/>
          <w:sz w:val="24"/>
          <w:szCs w:val="24"/>
        </w:rPr>
        <w:t>concentrações</w:t>
      </w:r>
      <w:r w:rsidR="00127892" w:rsidRPr="00127892">
        <w:rPr>
          <w:rFonts w:ascii="Arial" w:hAnsi="Arial" w:cs="Arial"/>
          <w:sz w:val="24"/>
          <w:szCs w:val="24"/>
        </w:rPr>
        <w:t xml:space="preserve"> entre 2,0 e 20,0mg/L</w:t>
      </w:r>
      <w:r w:rsidR="00127892">
        <w:rPr>
          <w:rFonts w:ascii="Arial" w:hAnsi="Arial" w:cs="Arial"/>
          <w:sz w:val="24"/>
          <w:szCs w:val="24"/>
        </w:rPr>
        <w:t xml:space="preserve">. </w:t>
      </w:r>
      <w:r w:rsidR="0011465A">
        <w:rPr>
          <w:rFonts w:ascii="Arial" w:hAnsi="Arial" w:cs="Arial"/>
          <w:sz w:val="24"/>
          <w:szCs w:val="24"/>
        </w:rPr>
        <w:t>O</w:t>
      </w:r>
      <w:r w:rsidR="000C66C5" w:rsidRPr="002464F0">
        <w:rPr>
          <w:rFonts w:ascii="Arial" w:hAnsi="Arial" w:cs="Arial"/>
          <w:sz w:val="24"/>
          <w:szCs w:val="24"/>
        </w:rPr>
        <w:t xml:space="preserve"> </w:t>
      </w:r>
      <w:r w:rsidR="006B1D27" w:rsidRPr="006B1D27">
        <w:rPr>
          <w:rFonts w:ascii="Arial" w:hAnsi="Arial" w:cs="Arial"/>
          <w:i/>
          <w:sz w:val="24"/>
          <w:szCs w:val="24"/>
        </w:rPr>
        <w:t>background</w:t>
      </w:r>
      <w:r w:rsidR="000C66C5" w:rsidRPr="002464F0">
        <w:rPr>
          <w:rFonts w:ascii="Arial" w:hAnsi="Arial" w:cs="Arial"/>
          <w:sz w:val="24"/>
          <w:szCs w:val="24"/>
        </w:rPr>
        <w:t xml:space="preserve"> em muitos casos pode naturalmente suplantar limites </w:t>
      </w:r>
      <w:r w:rsidR="00DF0447">
        <w:rPr>
          <w:rFonts w:ascii="Arial" w:hAnsi="Arial" w:cs="Arial"/>
          <w:sz w:val="24"/>
          <w:szCs w:val="24"/>
        </w:rPr>
        <w:t>legalmente regulamentados</w:t>
      </w:r>
      <w:r w:rsidR="000C66C5" w:rsidRPr="002464F0">
        <w:rPr>
          <w:rFonts w:ascii="Arial" w:hAnsi="Arial" w:cs="Arial"/>
          <w:sz w:val="24"/>
          <w:szCs w:val="24"/>
        </w:rPr>
        <w:t xml:space="preserve">, fato este observado neste estudo para o manganês, que apresenta concentração de </w:t>
      </w:r>
      <w:r w:rsidR="006B1D27" w:rsidRPr="006B1D27">
        <w:rPr>
          <w:rFonts w:ascii="Arial" w:hAnsi="Arial" w:cs="Arial"/>
          <w:i/>
          <w:sz w:val="24"/>
          <w:szCs w:val="24"/>
        </w:rPr>
        <w:t>background</w:t>
      </w:r>
      <w:r w:rsidR="000C66C5" w:rsidRPr="002464F0">
        <w:rPr>
          <w:rFonts w:ascii="Arial" w:hAnsi="Arial" w:cs="Arial"/>
          <w:sz w:val="24"/>
          <w:szCs w:val="24"/>
        </w:rPr>
        <w:t xml:space="preserve"> três vezes maior que o preconizado </w:t>
      </w:r>
      <w:r w:rsidR="006B1D27" w:rsidRPr="006B1D27">
        <w:rPr>
          <w:rFonts w:ascii="Arial" w:hAnsi="Arial" w:cs="Arial"/>
          <w:sz w:val="24"/>
          <w:szCs w:val="24"/>
        </w:rPr>
        <w:t>pelo Portaria MS n. 5/2017</w:t>
      </w:r>
      <w:r w:rsidR="000C66C5" w:rsidRPr="002464F0">
        <w:rPr>
          <w:rFonts w:ascii="Arial" w:hAnsi="Arial" w:cs="Arial"/>
          <w:sz w:val="24"/>
          <w:szCs w:val="24"/>
        </w:rPr>
        <w:t xml:space="preserve"> que </w:t>
      </w:r>
      <w:r w:rsidR="0011465A">
        <w:rPr>
          <w:rFonts w:ascii="Arial" w:hAnsi="Arial" w:cs="Arial"/>
          <w:sz w:val="24"/>
          <w:szCs w:val="24"/>
        </w:rPr>
        <w:t>trata de</w:t>
      </w:r>
      <w:r w:rsidR="000C66C5" w:rsidRPr="002464F0">
        <w:rPr>
          <w:rFonts w:ascii="Arial" w:hAnsi="Arial" w:cs="Arial"/>
          <w:sz w:val="24"/>
          <w:szCs w:val="24"/>
        </w:rPr>
        <w:t xml:space="preserve"> potabilidade de água.</w:t>
      </w:r>
    </w:p>
    <w:p w14:paraId="60374B66" w14:textId="77777777" w:rsidR="00B8492C" w:rsidRPr="00517AC6" w:rsidRDefault="00B8492C" w:rsidP="00B849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Palavras Chave: Contaminação. Recursos hídricos. Drenagem ácida de Mina. Qualidade de água. </w:t>
      </w:r>
      <w:r w:rsidRPr="00517AC6">
        <w:rPr>
          <w:rFonts w:ascii="Arial" w:hAnsi="Arial" w:cs="Arial"/>
          <w:sz w:val="24"/>
          <w:szCs w:val="24"/>
          <w:lang w:val="en-US"/>
        </w:rPr>
        <w:t>Hidrogeoquímica.</w:t>
      </w:r>
    </w:p>
    <w:p w14:paraId="3C3C6372" w14:textId="77777777" w:rsidR="00966094" w:rsidRDefault="00966094" w:rsidP="009B437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7A6C100" w14:textId="77777777" w:rsidR="00121E91" w:rsidRPr="00FE3D71" w:rsidRDefault="00121E91" w:rsidP="009B437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E3D71">
        <w:rPr>
          <w:rFonts w:ascii="Arial" w:hAnsi="Arial" w:cs="Arial"/>
          <w:sz w:val="24"/>
          <w:szCs w:val="24"/>
          <w:lang w:val="en-US"/>
        </w:rPr>
        <w:t>Abstract</w:t>
      </w:r>
    </w:p>
    <w:p w14:paraId="3BF34364" w14:textId="03929FC4" w:rsidR="00B8492C" w:rsidRDefault="00D170AF" w:rsidP="00BF3B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E3D71">
        <w:rPr>
          <w:rFonts w:ascii="Arial" w:hAnsi="Arial" w:cs="Arial"/>
          <w:sz w:val="24"/>
          <w:szCs w:val="24"/>
          <w:lang w:val="en-US"/>
        </w:rPr>
        <w:t xml:space="preserve">The city of Criciúma </w:t>
      </w:r>
      <w:r w:rsidR="00F15F05" w:rsidRPr="00FE3D71">
        <w:rPr>
          <w:rFonts w:ascii="Arial" w:hAnsi="Arial" w:cs="Arial"/>
          <w:sz w:val="24"/>
          <w:szCs w:val="24"/>
          <w:lang w:val="en-US"/>
        </w:rPr>
        <w:t xml:space="preserve">was </w:t>
      </w:r>
      <w:r w:rsidRPr="00FE3D71">
        <w:rPr>
          <w:rFonts w:ascii="Arial" w:hAnsi="Arial" w:cs="Arial"/>
          <w:sz w:val="24"/>
          <w:szCs w:val="24"/>
          <w:lang w:val="en-US"/>
        </w:rPr>
        <w:t xml:space="preserve">impacted by decades of </w:t>
      </w:r>
      <w:r w:rsidR="003D4902">
        <w:rPr>
          <w:rFonts w:ascii="Arial" w:hAnsi="Arial" w:cs="Arial"/>
          <w:sz w:val="24"/>
          <w:szCs w:val="24"/>
          <w:lang w:val="en-US"/>
        </w:rPr>
        <w:t xml:space="preserve">coal mining </w:t>
      </w:r>
      <w:r w:rsidR="00BF3B64" w:rsidRPr="00FE3D71">
        <w:rPr>
          <w:rFonts w:ascii="Arial" w:hAnsi="Arial" w:cs="Arial"/>
          <w:sz w:val="24"/>
          <w:szCs w:val="24"/>
          <w:lang w:val="en-US"/>
        </w:rPr>
        <w:t>exploration</w:t>
      </w:r>
      <w:r w:rsidR="00BF3B64">
        <w:rPr>
          <w:rFonts w:ascii="Arial" w:hAnsi="Arial" w:cs="Arial"/>
          <w:sz w:val="24"/>
          <w:szCs w:val="24"/>
          <w:lang w:val="en-US"/>
        </w:rPr>
        <w:t xml:space="preserve"> </w:t>
      </w:r>
      <w:r w:rsidR="003D4902">
        <w:rPr>
          <w:rFonts w:ascii="Arial" w:hAnsi="Arial" w:cs="Arial"/>
          <w:sz w:val="24"/>
          <w:szCs w:val="24"/>
          <w:lang w:val="en-US"/>
        </w:rPr>
        <w:t xml:space="preserve">and </w:t>
      </w:r>
      <w:r w:rsidRPr="00FE3D71">
        <w:rPr>
          <w:rFonts w:ascii="Arial" w:hAnsi="Arial" w:cs="Arial"/>
          <w:sz w:val="24"/>
          <w:szCs w:val="24"/>
          <w:lang w:val="en-US"/>
        </w:rPr>
        <w:t>tailings</w:t>
      </w:r>
      <w:r w:rsidR="003D4902" w:rsidRPr="00FE3D71">
        <w:rPr>
          <w:rFonts w:ascii="Arial" w:hAnsi="Arial" w:cs="Arial"/>
          <w:sz w:val="24"/>
          <w:szCs w:val="24"/>
          <w:lang w:val="en-US"/>
        </w:rPr>
        <w:t xml:space="preserve"> disposal</w:t>
      </w:r>
      <w:r w:rsidRPr="00FE3D71">
        <w:rPr>
          <w:rFonts w:ascii="Arial" w:hAnsi="Arial" w:cs="Arial"/>
          <w:sz w:val="24"/>
          <w:szCs w:val="24"/>
          <w:lang w:val="en-US"/>
        </w:rPr>
        <w:t>. These activities directly interfere with natural resource systems, causing the contamination of ground and surface water resources th</w:t>
      </w:r>
      <w:r w:rsidR="00BF3B64">
        <w:rPr>
          <w:rFonts w:ascii="Arial" w:hAnsi="Arial" w:cs="Arial"/>
          <w:sz w:val="24"/>
          <w:szCs w:val="24"/>
          <w:lang w:val="en-US"/>
        </w:rPr>
        <w:t>rough acid mine drainage (DAM).</w:t>
      </w:r>
      <w:r w:rsidR="00BF3B64" w:rsidRPr="00BF3B64">
        <w:rPr>
          <w:rFonts w:ascii="Arial" w:hAnsi="Arial" w:cs="Arial"/>
          <w:sz w:val="24"/>
          <w:szCs w:val="24"/>
          <w:lang w:val="en-US"/>
        </w:rPr>
        <w:t>The definition of geochemical background values ​​is a strategy to quantify and qualify the impact of mining activities on natural resources.</w:t>
      </w:r>
      <w:r w:rsidR="00BF3B64">
        <w:rPr>
          <w:rFonts w:ascii="Arial" w:hAnsi="Arial" w:cs="Arial"/>
          <w:sz w:val="24"/>
          <w:szCs w:val="24"/>
          <w:lang w:val="en-US"/>
        </w:rPr>
        <w:t xml:space="preserve"> </w:t>
      </w:r>
      <w:r w:rsidRPr="00FE3D71">
        <w:rPr>
          <w:rFonts w:ascii="Arial" w:hAnsi="Arial" w:cs="Arial"/>
          <w:sz w:val="24"/>
          <w:szCs w:val="24"/>
          <w:lang w:val="en-US"/>
        </w:rPr>
        <w:t xml:space="preserve">The present paper aimed to establish geochemical </w:t>
      </w:r>
      <w:r w:rsidR="006B1D27" w:rsidRPr="000334B6">
        <w:rPr>
          <w:rFonts w:ascii="Arial" w:hAnsi="Arial" w:cs="Arial"/>
          <w:sz w:val="24"/>
          <w:szCs w:val="24"/>
          <w:lang w:val="en-US"/>
        </w:rPr>
        <w:t>background</w:t>
      </w:r>
      <w:r w:rsidRPr="00FE3D71">
        <w:rPr>
          <w:rFonts w:ascii="Arial" w:hAnsi="Arial" w:cs="Arial"/>
          <w:sz w:val="24"/>
          <w:szCs w:val="24"/>
          <w:lang w:val="en-US"/>
        </w:rPr>
        <w:t xml:space="preserve"> values in groundwater from springs distributed in the </w:t>
      </w:r>
      <w:r w:rsidR="00BF3B64">
        <w:rPr>
          <w:rFonts w:ascii="Arial" w:hAnsi="Arial" w:cs="Arial"/>
          <w:sz w:val="24"/>
          <w:szCs w:val="24"/>
          <w:lang w:val="en-US"/>
        </w:rPr>
        <w:t>city of Criciúma/SC</w:t>
      </w:r>
      <w:r w:rsidRPr="00FE3D71">
        <w:rPr>
          <w:rFonts w:ascii="Arial" w:hAnsi="Arial" w:cs="Arial"/>
          <w:sz w:val="24"/>
          <w:szCs w:val="24"/>
          <w:lang w:val="en-US"/>
        </w:rPr>
        <w:t xml:space="preserve">. </w:t>
      </w:r>
      <w:r w:rsidR="00BF3B64" w:rsidRPr="00BF3B64">
        <w:rPr>
          <w:rFonts w:ascii="Arial" w:hAnsi="Arial" w:cs="Arial"/>
          <w:sz w:val="24"/>
          <w:szCs w:val="24"/>
          <w:lang w:val="en-US"/>
        </w:rPr>
        <w:t xml:space="preserve">The water quality data were evaluated using the Exploratory Data Analysis (EDA) and cumulative frequency representation </w:t>
      </w:r>
      <w:r w:rsidR="000334B6" w:rsidRPr="00BF3B64">
        <w:rPr>
          <w:rFonts w:ascii="Arial" w:hAnsi="Arial" w:cs="Arial"/>
          <w:sz w:val="24"/>
          <w:szCs w:val="24"/>
          <w:lang w:val="en-US"/>
        </w:rPr>
        <w:t>methods. Thus</w:t>
      </w:r>
      <w:r w:rsidR="00BF3B64" w:rsidRPr="00BF3B64">
        <w:rPr>
          <w:rFonts w:ascii="Arial" w:hAnsi="Arial" w:cs="Arial"/>
          <w:sz w:val="24"/>
          <w:szCs w:val="24"/>
          <w:lang w:val="en-US"/>
        </w:rPr>
        <w:t xml:space="preserve">, the work allowed </w:t>
      </w:r>
      <w:proofErr w:type="gramStart"/>
      <w:r w:rsidR="00BF3B64" w:rsidRPr="00BF3B64">
        <w:rPr>
          <w:rFonts w:ascii="Arial" w:hAnsi="Arial" w:cs="Arial"/>
          <w:sz w:val="24"/>
          <w:szCs w:val="24"/>
          <w:lang w:val="en-US"/>
        </w:rPr>
        <w:t>to determine</w:t>
      </w:r>
      <w:proofErr w:type="gramEnd"/>
      <w:r w:rsidR="00BF3B64" w:rsidRPr="00BF3B64">
        <w:rPr>
          <w:rFonts w:ascii="Arial" w:hAnsi="Arial" w:cs="Arial"/>
          <w:sz w:val="24"/>
          <w:szCs w:val="24"/>
          <w:lang w:val="en-US"/>
        </w:rPr>
        <w:t xml:space="preserve"> the background values ​​for the analytical parameters pH, Iron, Manganese and Sulphate, when it was confirmed that values ​​for pH found within the range of 5.5 to 7.9 can be considered normal for the groundwater. Iron and manganese had background concentrations of 2.58 and 0.30 mg / L respectively, while sulfate had concentrations between 2.0 and 20.0 mg / L. The background in many cases can of course supplant legally regulated limits, a fact observed in this study for manganese, which has a background concentration three times higher than that recommended by MS Ordinance n. 5/2017 which deals with water potability.</w:t>
      </w:r>
    </w:p>
    <w:p w14:paraId="16F04137" w14:textId="77777777" w:rsidR="00BF3B64" w:rsidRDefault="00BF3B64" w:rsidP="00BF3B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E497D5E" w14:textId="77777777" w:rsidR="00B8492C" w:rsidRPr="002464F0" w:rsidRDefault="00B8492C" w:rsidP="00B8492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464F0">
        <w:rPr>
          <w:rFonts w:ascii="Arial" w:hAnsi="Arial" w:cs="Arial"/>
          <w:sz w:val="24"/>
          <w:szCs w:val="24"/>
          <w:lang w:val="en-US"/>
        </w:rPr>
        <w:t>Keywords: Contamination. Water resources. Mine acid drainage. Water quality. Hydrogeochemistry.</w:t>
      </w:r>
    </w:p>
    <w:p w14:paraId="7BDA0D6C" w14:textId="77777777" w:rsidR="00121E91" w:rsidRDefault="00121E91" w:rsidP="00655545">
      <w:pPr>
        <w:pStyle w:val="Ttulo1"/>
      </w:pPr>
      <w:r>
        <w:lastRenderedPageBreak/>
        <w:t>INTRODUÇÃO</w:t>
      </w:r>
    </w:p>
    <w:p w14:paraId="7741D541" w14:textId="77777777" w:rsidR="00121E91" w:rsidRDefault="00121E91" w:rsidP="00121E9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CEC966" w14:textId="1D74A9E3" w:rsidR="006B1D27" w:rsidRPr="00D67A1C" w:rsidRDefault="006B1D27" w:rsidP="006B1D27">
      <w:pPr>
        <w:pStyle w:val="NORMAL0"/>
        <w:spacing w:line="480" w:lineRule="auto"/>
        <w:rPr>
          <w:szCs w:val="24"/>
        </w:rPr>
      </w:pPr>
      <w:r w:rsidRPr="00F00011">
        <w:rPr>
          <w:szCs w:val="24"/>
        </w:rPr>
        <w:t>Atividades antrópicas são responsáveis pela introdução de diversos contaminantes (p.ex. As, Pb, Cd, Hg</w:t>
      </w:r>
      <w:r w:rsidR="001E3F9C">
        <w:rPr>
          <w:szCs w:val="24"/>
        </w:rPr>
        <w:t>,</w:t>
      </w:r>
      <w:r w:rsidRPr="00F00011">
        <w:rPr>
          <w:szCs w:val="24"/>
        </w:rPr>
        <w:t xml:space="preserve"> </w:t>
      </w:r>
      <w:r w:rsidR="001E3F9C">
        <w:rPr>
          <w:szCs w:val="24"/>
        </w:rPr>
        <w:t>d</w:t>
      </w:r>
      <w:r w:rsidRPr="00F00011">
        <w:rPr>
          <w:szCs w:val="24"/>
        </w:rPr>
        <w:t xml:space="preserve">entre outros) no meio ambiente. </w:t>
      </w:r>
      <w:r>
        <w:rPr>
          <w:szCs w:val="24"/>
        </w:rPr>
        <w:t>O</w:t>
      </w:r>
      <w:r w:rsidRPr="00F00011">
        <w:rPr>
          <w:szCs w:val="24"/>
        </w:rPr>
        <w:t xml:space="preserve"> acréscimo de cargas contaminantes </w:t>
      </w:r>
      <w:r>
        <w:rPr>
          <w:szCs w:val="24"/>
        </w:rPr>
        <w:t>ao meio</w:t>
      </w:r>
      <w:r w:rsidR="001E3F9C">
        <w:rPr>
          <w:szCs w:val="24"/>
        </w:rPr>
        <w:t>,</w:t>
      </w:r>
      <w:r w:rsidR="00943FC4">
        <w:rPr>
          <w:szCs w:val="24"/>
        </w:rPr>
        <w:t xml:space="preserve"> traz</w:t>
      </w:r>
      <w:r w:rsidRPr="00F00011">
        <w:rPr>
          <w:szCs w:val="24"/>
        </w:rPr>
        <w:t xml:space="preserve"> consigo a necessidade de se </w:t>
      </w:r>
      <w:r>
        <w:rPr>
          <w:szCs w:val="24"/>
        </w:rPr>
        <w:t>compreender</w:t>
      </w:r>
      <w:r w:rsidRPr="00F00011">
        <w:rPr>
          <w:szCs w:val="24"/>
        </w:rPr>
        <w:t xml:space="preserve"> as consequências que tais </w:t>
      </w:r>
      <w:r w:rsidR="0082424F">
        <w:rPr>
          <w:szCs w:val="24"/>
        </w:rPr>
        <w:t>ações e/ou atividades</w:t>
      </w:r>
      <w:r w:rsidRPr="00F00011">
        <w:rPr>
          <w:szCs w:val="24"/>
        </w:rPr>
        <w:t xml:space="preserve"> podem acarretar ao ambiente. Com </w:t>
      </w:r>
      <w:r w:rsidRPr="00D67A1C">
        <w:rPr>
          <w:szCs w:val="24"/>
        </w:rPr>
        <w:t>isso</w:t>
      </w:r>
      <w:r w:rsidR="0082424F" w:rsidRPr="00D67A1C">
        <w:rPr>
          <w:szCs w:val="24"/>
        </w:rPr>
        <w:t>,</w:t>
      </w:r>
      <w:r w:rsidRPr="00D67A1C">
        <w:rPr>
          <w:szCs w:val="24"/>
        </w:rPr>
        <w:t xml:space="preserve"> as investigações relacionadas ao processo de contaminação do ar, água, solo e sedimentos têm se tornado crescente</w:t>
      </w:r>
      <w:r w:rsidR="001E3F9C">
        <w:rPr>
          <w:szCs w:val="24"/>
        </w:rPr>
        <w:t>s</w:t>
      </w:r>
      <w:r w:rsidR="0082424F" w:rsidRPr="00D67A1C">
        <w:rPr>
          <w:szCs w:val="24"/>
        </w:rPr>
        <w:t xml:space="preserve"> em todo o mundo</w:t>
      </w:r>
      <w:r w:rsidRPr="00D67A1C">
        <w:rPr>
          <w:szCs w:val="24"/>
        </w:rPr>
        <w:t>, tornando assim</w:t>
      </w:r>
      <w:r w:rsidR="00BA79C8" w:rsidRPr="00D67A1C">
        <w:rPr>
          <w:szCs w:val="24"/>
        </w:rPr>
        <w:t>,</w:t>
      </w:r>
      <w:r w:rsidRPr="00D67A1C">
        <w:rPr>
          <w:szCs w:val="24"/>
        </w:rPr>
        <w:t xml:space="preserve"> o uso do termo </w:t>
      </w:r>
      <w:r w:rsidRPr="00D67A1C">
        <w:rPr>
          <w:i/>
          <w:szCs w:val="24"/>
        </w:rPr>
        <w:t>background</w:t>
      </w:r>
      <w:r w:rsidRPr="00D67A1C">
        <w:rPr>
          <w:szCs w:val="24"/>
        </w:rPr>
        <w:t xml:space="preserve"> geoquímico cada vez mais </w:t>
      </w:r>
      <w:r w:rsidR="0082424F" w:rsidRPr="00D67A1C">
        <w:rPr>
          <w:szCs w:val="24"/>
        </w:rPr>
        <w:t>frequente em</w:t>
      </w:r>
      <w:r w:rsidRPr="00D67A1C">
        <w:rPr>
          <w:szCs w:val="24"/>
        </w:rPr>
        <w:t xml:space="preserve"> estudos ambientais (MATSCHULLAT et al., 2000).</w:t>
      </w:r>
    </w:p>
    <w:p w14:paraId="3611311C" w14:textId="15088EAD" w:rsidR="006B1D27" w:rsidRPr="00EA5ED6" w:rsidRDefault="0082424F" w:rsidP="006B1D27">
      <w:pPr>
        <w:pStyle w:val="NORMAL0"/>
        <w:spacing w:line="480" w:lineRule="auto"/>
        <w:rPr>
          <w:rFonts w:ascii="Verdana" w:hAnsi="Verdana"/>
          <w:szCs w:val="24"/>
          <w:shd w:val="clear" w:color="auto" w:fill="FFFFFF"/>
        </w:rPr>
      </w:pPr>
      <w:r w:rsidRPr="00D67A1C">
        <w:rPr>
          <w:szCs w:val="24"/>
        </w:rPr>
        <w:t>O</w:t>
      </w:r>
      <w:r w:rsidR="006B1D27" w:rsidRPr="00D67A1C">
        <w:rPr>
          <w:szCs w:val="24"/>
        </w:rPr>
        <w:t xml:space="preserve"> estabelecimento de valores de </w:t>
      </w:r>
      <w:r w:rsidR="006B1D27" w:rsidRPr="00D67A1C">
        <w:rPr>
          <w:i/>
          <w:szCs w:val="24"/>
        </w:rPr>
        <w:t>background</w:t>
      </w:r>
      <w:r w:rsidR="006B1D27" w:rsidRPr="00D67A1C">
        <w:rPr>
          <w:szCs w:val="24"/>
        </w:rPr>
        <w:t xml:space="preserve"> geoquímico como uma medida para distinguir concentrações naturais de um elemento (geogênica e/ou biogênica) e a influência das atividades antrópicas representa um dos assuntos mais importantes das ciências ambientais recentes</w:t>
      </w:r>
      <w:r w:rsidRPr="00D67A1C">
        <w:rPr>
          <w:szCs w:val="24"/>
        </w:rPr>
        <w:t xml:space="preserve"> (RODRIGUES</w:t>
      </w:r>
      <w:r w:rsidR="001E3F9C">
        <w:rPr>
          <w:szCs w:val="24"/>
        </w:rPr>
        <w:t>;</w:t>
      </w:r>
      <w:r w:rsidRPr="00D67A1C">
        <w:rPr>
          <w:szCs w:val="24"/>
        </w:rPr>
        <w:t xml:space="preserve"> NALINI</w:t>
      </w:r>
      <w:r w:rsidR="002C50B4">
        <w:rPr>
          <w:szCs w:val="24"/>
        </w:rPr>
        <w:t xml:space="preserve"> </w:t>
      </w:r>
      <w:r w:rsidRPr="00D67A1C">
        <w:rPr>
          <w:szCs w:val="24"/>
        </w:rPr>
        <w:t>J</w:t>
      </w:r>
      <w:r w:rsidR="002C50B4">
        <w:rPr>
          <w:szCs w:val="24"/>
        </w:rPr>
        <w:t>r.,</w:t>
      </w:r>
      <w:r w:rsidRPr="00D67A1C">
        <w:rPr>
          <w:szCs w:val="24"/>
        </w:rPr>
        <w:t xml:space="preserve"> 2009)</w:t>
      </w:r>
      <w:r w:rsidR="006B1D27" w:rsidRPr="00D67A1C">
        <w:rPr>
          <w:szCs w:val="24"/>
        </w:rPr>
        <w:t>.</w:t>
      </w:r>
      <w:r w:rsidR="006B1D27" w:rsidRPr="00F00011">
        <w:rPr>
          <w:szCs w:val="24"/>
        </w:rPr>
        <w:t xml:space="preserve"> A relação entre as alterações naturais e as proporcionadas pela ação antrópica nas espécies químicas é uma questão que envolve implicações nas</w:t>
      </w:r>
      <w:r>
        <w:rPr>
          <w:szCs w:val="24"/>
        </w:rPr>
        <w:t xml:space="preserve"> diversas </w:t>
      </w:r>
      <w:r w:rsidR="006B1D27" w:rsidRPr="00F00011">
        <w:rPr>
          <w:szCs w:val="24"/>
        </w:rPr>
        <w:t>áreas</w:t>
      </w:r>
      <w:r>
        <w:rPr>
          <w:szCs w:val="24"/>
        </w:rPr>
        <w:t xml:space="preserve"> do </w:t>
      </w:r>
      <w:r w:rsidRPr="00EA5ED6">
        <w:rPr>
          <w:szCs w:val="24"/>
        </w:rPr>
        <w:t>conhecimento como a</w:t>
      </w:r>
      <w:r w:rsidR="006B1D27" w:rsidRPr="00EA5ED6">
        <w:rPr>
          <w:szCs w:val="24"/>
        </w:rPr>
        <w:t xml:space="preserve"> geologia, toxicologia, biologia, hidrogeologia </w:t>
      </w:r>
      <w:r w:rsidRPr="00EA5ED6">
        <w:rPr>
          <w:szCs w:val="24"/>
        </w:rPr>
        <w:t>d</w:t>
      </w:r>
      <w:r w:rsidR="006B1D27" w:rsidRPr="00EA5ED6">
        <w:rPr>
          <w:szCs w:val="24"/>
        </w:rPr>
        <w:t xml:space="preserve">entre </w:t>
      </w:r>
      <w:r w:rsidRPr="00EA5ED6">
        <w:rPr>
          <w:szCs w:val="24"/>
        </w:rPr>
        <w:t>outras</w:t>
      </w:r>
      <w:r w:rsidR="006B1D27" w:rsidRPr="00EA5ED6">
        <w:rPr>
          <w:rFonts w:ascii="Verdana" w:hAnsi="Verdana"/>
          <w:szCs w:val="24"/>
          <w:shd w:val="clear" w:color="auto" w:fill="FFFFFF"/>
        </w:rPr>
        <w:t>.</w:t>
      </w:r>
    </w:p>
    <w:p w14:paraId="5DCC5299" w14:textId="3E523ED3" w:rsidR="0056205A" w:rsidRDefault="00E7481A" w:rsidP="00E7481A">
      <w:pPr>
        <w:pStyle w:val="NORMAL0"/>
        <w:spacing w:line="480" w:lineRule="auto"/>
        <w:rPr>
          <w:szCs w:val="24"/>
        </w:rPr>
      </w:pPr>
      <w:r w:rsidRPr="00EA5ED6">
        <w:rPr>
          <w:szCs w:val="24"/>
        </w:rPr>
        <w:t>Neste contexto</w:t>
      </w:r>
      <w:r w:rsidR="003A67EC" w:rsidRPr="00EA5ED6">
        <w:rPr>
          <w:szCs w:val="24"/>
        </w:rPr>
        <w:t xml:space="preserve">, </w:t>
      </w:r>
      <w:r w:rsidR="00EA5ED6" w:rsidRPr="00EA5ED6">
        <w:rPr>
          <w:szCs w:val="24"/>
        </w:rPr>
        <w:t>diversas instituições do mundo têm</w:t>
      </w:r>
      <w:r w:rsidR="003A67EC" w:rsidRPr="00EA5ED6">
        <w:rPr>
          <w:szCs w:val="24"/>
        </w:rPr>
        <w:t xml:space="preserve"> instituído valores de referência, de maneia a </w:t>
      </w:r>
      <w:r w:rsidRPr="00EA5ED6">
        <w:rPr>
          <w:szCs w:val="24"/>
        </w:rPr>
        <w:t>avaliar eventuais danos causados ao meio ambiente por atividades antr</w:t>
      </w:r>
      <w:r w:rsidR="003A67EC" w:rsidRPr="00EA5ED6">
        <w:rPr>
          <w:szCs w:val="24"/>
        </w:rPr>
        <w:t>opogênicas</w:t>
      </w:r>
      <w:r w:rsidR="0056205A" w:rsidRPr="00EA5ED6">
        <w:rPr>
          <w:szCs w:val="24"/>
        </w:rPr>
        <w:t>, como maiores exemplos pode</w:t>
      </w:r>
      <w:r w:rsidR="00EA5ED6" w:rsidRPr="00EA5ED6">
        <w:rPr>
          <w:szCs w:val="24"/>
        </w:rPr>
        <w:t>m ser</w:t>
      </w:r>
      <w:r w:rsidR="0056205A" w:rsidRPr="00EA5ED6">
        <w:rPr>
          <w:szCs w:val="24"/>
        </w:rPr>
        <w:t xml:space="preserve"> cita</w:t>
      </w:r>
      <w:r w:rsidR="00EA5ED6" w:rsidRPr="00EA5ED6">
        <w:rPr>
          <w:szCs w:val="24"/>
        </w:rPr>
        <w:t>dos</w:t>
      </w:r>
      <w:r w:rsidR="0056205A" w:rsidRPr="00EA5ED6">
        <w:rPr>
          <w:szCs w:val="24"/>
        </w:rPr>
        <w:t xml:space="preserve"> o </w:t>
      </w:r>
      <w:r w:rsidR="0085124C" w:rsidRPr="0085124C">
        <w:rPr>
          <w:i/>
          <w:szCs w:val="24"/>
        </w:rPr>
        <w:t>Intervention values and target values: Soil quality standards</w:t>
      </w:r>
      <w:r w:rsidR="0056205A" w:rsidRPr="001A68FF">
        <w:rPr>
          <w:szCs w:val="24"/>
        </w:rPr>
        <w:t xml:space="preserve"> (VROM, 19</w:t>
      </w:r>
      <w:r w:rsidR="0085124C">
        <w:rPr>
          <w:szCs w:val="24"/>
        </w:rPr>
        <w:t>94</w:t>
      </w:r>
      <w:r w:rsidR="001E3F9C">
        <w:rPr>
          <w:szCs w:val="24"/>
        </w:rPr>
        <w:t>) h</w:t>
      </w:r>
      <w:r w:rsidR="0056205A" w:rsidRPr="001A68FF">
        <w:rPr>
          <w:szCs w:val="24"/>
        </w:rPr>
        <w:t xml:space="preserve">olandês e </w:t>
      </w:r>
      <w:r w:rsidR="00EA5ED6" w:rsidRPr="001A68FF">
        <w:rPr>
          <w:szCs w:val="24"/>
        </w:rPr>
        <w:t xml:space="preserve">o </w:t>
      </w:r>
      <w:r w:rsidR="00EA5ED6" w:rsidRPr="001A68FF">
        <w:rPr>
          <w:i/>
          <w:szCs w:val="24"/>
        </w:rPr>
        <w:t>Soil Screening Guidance</w:t>
      </w:r>
      <w:r w:rsidR="00EA5ED6" w:rsidRPr="001A68FF">
        <w:rPr>
          <w:szCs w:val="24"/>
        </w:rPr>
        <w:t xml:space="preserve"> da Agência de Proteção Ambiental dos Estados Unidos (</w:t>
      </w:r>
      <w:r w:rsidR="0085124C">
        <w:rPr>
          <w:szCs w:val="24"/>
        </w:rPr>
        <w:t>US</w:t>
      </w:r>
      <w:r w:rsidR="0056205A" w:rsidRPr="001A68FF">
        <w:rPr>
          <w:szCs w:val="24"/>
        </w:rPr>
        <w:t>EPA</w:t>
      </w:r>
      <w:r w:rsidR="00EA5ED6" w:rsidRPr="001A68FF">
        <w:rPr>
          <w:szCs w:val="24"/>
        </w:rPr>
        <w:t>, 1996)</w:t>
      </w:r>
      <w:r w:rsidR="00EA5ED6" w:rsidRPr="00EA5ED6">
        <w:rPr>
          <w:szCs w:val="24"/>
        </w:rPr>
        <w:t>.</w:t>
      </w:r>
    </w:p>
    <w:p w14:paraId="24452023" w14:textId="7757CC3D" w:rsidR="00E7481A" w:rsidRPr="00F00011" w:rsidRDefault="00E7481A" w:rsidP="00E7481A">
      <w:pPr>
        <w:pStyle w:val="NORMAL0"/>
        <w:spacing w:line="480" w:lineRule="auto"/>
        <w:rPr>
          <w:szCs w:val="24"/>
        </w:rPr>
      </w:pPr>
      <w:r w:rsidRPr="00F00011">
        <w:rPr>
          <w:szCs w:val="24"/>
        </w:rPr>
        <w:t>No caso do Brasil</w:t>
      </w:r>
      <w:r w:rsidR="003A67EC">
        <w:rPr>
          <w:szCs w:val="24"/>
        </w:rPr>
        <w:t xml:space="preserve">, a responsabilidade pela definição dos valores de referência para avaliação da água superficial, </w:t>
      </w:r>
      <w:r w:rsidR="003A67EC" w:rsidRPr="00EA5ED6">
        <w:rPr>
          <w:szCs w:val="24"/>
        </w:rPr>
        <w:t>solo</w:t>
      </w:r>
      <w:r w:rsidR="00EA5ED6" w:rsidRPr="00EA5ED6">
        <w:rPr>
          <w:szCs w:val="24"/>
        </w:rPr>
        <w:t>, água</w:t>
      </w:r>
      <w:r w:rsidR="003A67EC" w:rsidRPr="00EA5ED6">
        <w:rPr>
          <w:szCs w:val="24"/>
        </w:rPr>
        <w:t xml:space="preserve"> </w:t>
      </w:r>
      <w:r w:rsidR="00EA5ED6" w:rsidRPr="00EA5ED6">
        <w:rPr>
          <w:szCs w:val="24"/>
        </w:rPr>
        <w:t xml:space="preserve">subterrânea </w:t>
      </w:r>
      <w:r w:rsidR="003A67EC" w:rsidRPr="00EA5ED6">
        <w:rPr>
          <w:szCs w:val="24"/>
        </w:rPr>
        <w:t>e sedimentos é do</w:t>
      </w:r>
      <w:r w:rsidRPr="00EA5ED6">
        <w:rPr>
          <w:szCs w:val="24"/>
        </w:rPr>
        <w:t xml:space="preserve"> </w:t>
      </w:r>
      <w:r w:rsidRPr="00EA5ED6">
        <w:rPr>
          <w:szCs w:val="24"/>
        </w:rPr>
        <w:lastRenderedPageBreak/>
        <w:t>Conselho Nacional de Meio Ambiente (CONAMA)</w:t>
      </w:r>
      <w:r w:rsidR="001E3F9C">
        <w:rPr>
          <w:szCs w:val="24"/>
        </w:rPr>
        <w:t>, o qual o faz por meio das suas resoluções</w:t>
      </w:r>
      <w:r w:rsidR="003A67EC" w:rsidRPr="00EA5ED6">
        <w:rPr>
          <w:szCs w:val="24"/>
        </w:rPr>
        <w:t xml:space="preserve"> (BRASIL, 2005;</w:t>
      </w:r>
      <w:r w:rsidR="00EA5ED6" w:rsidRPr="00EA5ED6">
        <w:rPr>
          <w:szCs w:val="24"/>
        </w:rPr>
        <w:t xml:space="preserve"> 2008;</w:t>
      </w:r>
      <w:r w:rsidR="003A67EC" w:rsidRPr="00EA5ED6">
        <w:rPr>
          <w:szCs w:val="24"/>
        </w:rPr>
        <w:t xml:space="preserve"> 2009; 2011)</w:t>
      </w:r>
      <w:r w:rsidRPr="00EA5ED6">
        <w:rPr>
          <w:szCs w:val="24"/>
        </w:rPr>
        <w:t>.</w:t>
      </w:r>
      <w:r w:rsidRPr="00F00011">
        <w:rPr>
          <w:szCs w:val="24"/>
        </w:rPr>
        <w:t xml:space="preserve"> </w:t>
      </w:r>
    </w:p>
    <w:p w14:paraId="78D014EB" w14:textId="6521478C" w:rsidR="00E7481A" w:rsidRPr="001A68FF" w:rsidRDefault="00BA79C8" w:rsidP="008D49CB">
      <w:pPr>
        <w:spacing w:after="0" w:line="48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bidi="en-US"/>
        </w:rPr>
      </w:pPr>
      <w:r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Dentre as atividades antrópicas que contribuem </w:t>
      </w:r>
      <w:r w:rsidR="007C0716" w:rsidRPr="001A68FF">
        <w:rPr>
          <w:rFonts w:ascii="Arial" w:eastAsia="Times New Roman" w:hAnsi="Arial" w:cs="Times New Roman"/>
          <w:sz w:val="24"/>
          <w:szCs w:val="24"/>
          <w:lang w:bidi="en-US"/>
        </w:rPr>
        <w:t>significativamente para a alteração das concentrações naturais, destacam-se a</w:t>
      </w:r>
      <w:r w:rsidR="0082424F" w:rsidRPr="001A68FF">
        <w:rPr>
          <w:rFonts w:ascii="Arial" w:eastAsia="Times New Roman" w:hAnsi="Arial" w:cs="Times New Roman"/>
          <w:sz w:val="24"/>
          <w:szCs w:val="24"/>
          <w:lang w:bidi="en-US"/>
        </w:rPr>
        <w:t>s a</w:t>
      </w:r>
      <w:r w:rsidR="00C1404B" w:rsidRPr="001A68FF">
        <w:rPr>
          <w:rFonts w:ascii="Arial" w:eastAsia="Times New Roman" w:hAnsi="Arial" w:cs="Times New Roman"/>
          <w:sz w:val="24"/>
          <w:szCs w:val="24"/>
          <w:lang w:bidi="en-US"/>
        </w:rPr>
        <w:t>tividades mineiras</w:t>
      </w:r>
      <w:r w:rsidR="007C0716" w:rsidRPr="001A68FF">
        <w:rPr>
          <w:rFonts w:ascii="Arial" w:eastAsia="Times New Roman" w:hAnsi="Arial" w:cs="Times New Roman"/>
          <w:sz w:val="24"/>
          <w:szCs w:val="24"/>
          <w:lang w:bidi="en-US"/>
        </w:rPr>
        <w:t>. Estas,</w:t>
      </w:r>
      <w:r w:rsidR="00C1404B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 causam </w:t>
      </w:r>
      <w:r w:rsidR="0082424F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impacto </w:t>
      </w:r>
      <w:r w:rsidR="00C1404B" w:rsidRPr="001A68FF">
        <w:rPr>
          <w:rFonts w:ascii="Arial" w:eastAsia="Times New Roman" w:hAnsi="Arial" w:cs="Times New Roman"/>
          <w:sz w:val="24"/>
          <w:szCs w:val="24"/>
          <w:lang w:bidi="en-US"/>
        </w:rPr>
        <w:t>diret</w:t>
      </w:r>
      <w:r w:rsidR="0082424F" w:rsidRPr="001A68FF">
        <w:rPr>
          <w:rFonts w:ascii="Arial" w:eastAsia="Times New Roman" w:hAnsi="Arial" w:cs="Times New Roman"/>
          <w:sz w:val="24"/>
          <w:szCs w:val="24"/>
          <w:lang w:bidi="en-US"/>
        </w:rPr>
        <w:t>o</w:t>
      </w:r>
      <w:r w:rsidR="00C1404B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 sobre </w:t>
      </w:r>
      <w:r w:rsidR="0082424F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os </w:t>
      </w:r>
      <w:r w:rsidR="00C1404B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sistemas </w:t>
      </w:r>
      <w:r w:rsidR="0082424F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naturais, interferindo na disponibilidade de </w:t>
      </w:r>
      <w:r w:rsidR="00C1404B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recursos, </w:t>
      </w:r>
      <w:r w:rsidR="0082424F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e </w:t>
      </w:r>
      <w:r w:rsidR="00C1404B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em muitos casos </w:t>
      </w:r>
      <w:r w:rsidR="001E3F9C">
        <w:rPr>
          <w:rFonts w:ascii="Arial" w:eastAsia="Times New Roman" w:hAnsi="Arial" w:cs="Times New Roman"/>
          <w:sz w:val="24"/>
          <w:szCs w:val="24"/>
          <w:lang w:bidi="en-US"/>
        </w:rPr>
        <w:t xml:space="preserve">resultando </w:t>
      </w:r>
      <w:r w:rsidR="0082424F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em </w:t>
      </w:r>
      <w:r w:rsidR="001E3F9C">
        <w:rPr>
          <w:rFonts w:ascii="Arial" w:eastAsia="Times New Roman" w:hAnsi="Arial" w:cs="Times New Roman"/>
          <w:sz w:val="24"/>
          <w:szCs w:val="24"/>
          <w:lang w:bidi="en-US"/>
        </w:rPr>
        <w:t>efeitos</w:t>
      </w:r>
      <w:r w:rsidR="0082424F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 </w:t>
      </w:r>
      <w:r w:rsidR="00C1404B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irreversíveis. </w:t>
      </w:r>
      <w:r w:rsidR="0082424F" w:rsidRPr="001A68FF">
        <w:rPr>
          <w:rFonts w:ascii="Arial" w:eastAsia="Times New Roman" w:hAnsi="Arial" w:cs="Times New Roman"/>
          <w:sz w:val="24"/>
          <w:szCs w:val="24"/>
          <w:lang w:bidi="en-US"/>
        </w:rPr>
        <w:t>Em Santa Catarina, especialmente</w:t>
      </w:r>
      <w:r w:rsidR="008D49CB" w:rsidRPr="001A68FF">
        <w:rPr>
          <w:rFonts w:ascii="Arial" w:eastAsia="Times New Roman" w:hAnsi="Arial" w:cs="Times New Roman"/>
          <w:sz w:val="24"/>
          <w:szCs w:val="24"/>
          <w:lang w:bidi="en-US"/>
        </w:rPr>
        <w:t>,</w:t>
      </w:r>
      <w:r w:rsidR="0082424F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 </w:t>
      </w:r>
      <w:r w:rsidR="008D49CB" w:rsidRPr="001A68FF">
        <w:rPr>
          <w:rFonts w:ascii="Arial" w:eastAsia="Times New Roman" w:hAnsi="Arial" w:cs="Times New Roman"/>
          <w:sz w:val="24"/>
          <w:szCs w:val="24"/>
          <w:lang w:bidi="en-US"/>
        </w:rPr>
        <w:t>na</w:t>
      </w:r>
      <w:r w:rsidR="0082424F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 Bacia Carbon</w:t>
      </w:r>
      <w:r w:rsidR="008D49CB" w:rsidRPr="001A68FF">
        <w:rPr>
          <w:rFonts w:ascii="Arial" w:eastAsia="Times New Roman" w:hAnsi="Arial" w:cs="Times New Roman"/>
          <w:sz w:val="24"/>
          <w:szCs w:val="24"/>
          <w:lang w:bidi="en-US"/>
        </w:rPr>
        <w:t>ífera Catarinense, a mineração resultou em cerca de 786km de rios comprometidos por influência da drenagem ácida de mina (DAM), perfazendo porções significativas das bacias dos rios Araranguá, Tubarão e Urussanga (SCHNEIDER, 2006)</w:t>
      </w:r>
      <w:r w:rsidR="00E7481A" w:rsidRPr="001A68FF">
        <w:rPr>
          <w:rFonts w:ascii="Arial" w:eastAsia="Times New Roman" w:hAnsi="Arial" w:cs="Times New Roman"/>
          <w:sz w:val="24"/>
          <w:szCs w:val="24"/>
          <w:lang w:bidi="en-US"/>
        </w:rPr>
        <w:t xml:space="preserve">. </w:t>
      </w:r>
    </w:p>
    <w:p w14:paraId="7A1EE498" w14:textId="4FFEFDE4" w:rsidR="00E7481A" w:rsidRPr="001A68FF" w:rsidRDefault="00E7481A" w:rsidP="008D49CB">
      <w:pPr>
        <w:spacing w:after="0" w:line="480" w:lineRule="auto"/>
        <w:ind w:firstLine="709"/>
        <w:jc w:val="both"/>
        <w:rPr>
          <w:rFonts w:ascii="Arial" w:hAnsi="Arial" w:cs="Arial"/>
          <w:sz w:val="24"/>
        </w:rPr>
      </w:pPr>
      <w:r w:rsidRPr="001A68FF">
        <w:rPr>
          <w:rFonts w:ascii="Arial" w:hAnsi="Arial" w:cs="Arial"/>
          <w:sz w:val="24"/>
        </w:rPr>
        <w:t>Neste sentido</w:t>
      </w:r>
      <w:r w:rsidR="007C0716" w:rsidRPr="001A68FF">
        <w:rPr>
          <w:rFonts w:ascii="Arial" w:hAnsi="Arial" w:cs="Arial"/>
          <w:sz w:val="24"/>
        </w:rPr>
        <w:t>,</w:t>
      </w:r>
      <w:r w:rsidRPr="001A68FF">
        <w:rPr>
          <w:rFonts w:ascii="Arial" w:hAnsi="Arial" w:cs="Arial"/>
          <w:sz w:val="24"/>
        </w:rPr>
        <w:t xml:space="preserve"> a DAM representa um dos principais desafios para a explotação de qualquer recurso mineral que tenha a si associado</w:t>
      </w:r>
      <w:r w:rsidR="007C0716" w:rsidRPr="001A68FF">
        <w:rPr>
          <w:rFonts w:ascii="Arial" w:hAnsi="Arial" w:cs="Arial"/>
          <w:sz w:val="24"/>
        </w:rPr>
        <w:t>,</w:t>
      </w:r>
      <w:r w:rsidRPr="001A68FF">
        <w:rPr>
          <w:rFonts w:ascii="Arial" w:hAnsi="Arial" w:cs="Arial"/>
          <w:sz w:val="24"/>
        </w:rPr>
        <w:t xml:space="preserve"> minerais sulfetados, em especial no que </w:t>
      </w:r>
      <w:r w:rsidR="007C0716" w:rsidRPr="001A68FF">
        <w:rPr>
          <w:rFonts w:ascii="Arial" w:hAnsi="Arial" w:cs="Arial"/>
          <w:sz w:val="24"/>
        </w:rPr>
        <w:t>diz respeito,</w:t>
      </w:r>
      <w:r w:rsidRPr="001A68FF">
        <w:rPr>
          <w:rFonts w:ascii="Arial" w:hAnsi="Arial" w:cs="Arial"/>
          <w:sz w:val="24"/>
        </w:rPr>
        <w:t xml:space="preserve"> à contaminação dos recursos hídricos subterrâneos e superficiais (GOMO; VERMEULEN, 2013). Os aquíferos afetados por esta </w:t>
      </w:r>
      <w:r w:rsidR="007C0716" w:rsidRPr="001A68FF">
        <w:rPr>
          <w:rFonts w:ascii="Arial" w:hAnsi="Arial" w:cs="Arial"/>
          <w:sz w:val="24"/>
        </w:rPr>
        <w:t>atividade</w:t>
      </w:r>
      <w:r w:rsidRPr="001A68FF">
        <w:rPr>
          <w:rFonts w:ascii="Arial" w:hAnsi="Arial" w:cs="Arial"/>
          <w:sz w:val="24"/>
        </w:rPr>
        <w:t xml:space="preserve"> caracterizam-se por elevada acidez, </w:t>
      </w:r>
      <w:r w:rsidR="005A79C9" w:rsidRPr="001A68FF">
        <w:rPr>
          <w:rFonts w:ascii="Arial" w:hAnsi="Arial" w:cs="Arial"/>
          <w:sz w:val="24"/>
        </w:rPr>
        <w:t>bem</w:t>
      </w:r>
      <w:r w:rsidRPr="001A68FF">
        <w:rPr>
          <w:rFonts w:ascii="Arial" w:hAnsi="Arial" w:cs="Arial"/>
          <w:sz w:val="24"/>
        </w:rPr>
        <w:t xml:space="preserve"> como por </w:t>
      </w:r>
      <w:r w:rsidR="005A79C9" w:rsidRPr="001A68FF">
        <w:rPr>
          <w:rFonts w:ascii="Arial" w:hAnsi="Arial" w:cs="Arial"/>
          <w:sz w:val="24"/>
        </w:rPr>
        <w:t xml:space="preserve">elevados </w:t>
      </w:r>
      <w:r w:rsidRPr="001A68FF">
        <w:rPr>
          <w:rFonts w:ascii="Arial" w:hAnsi="Arial" w:cs="Arial"/>
          <w:sz w:val="24"/>
        </w:rPr>
        <w:t>teores de ferro, manganês e sulfetos.</w:t>
      </w:r>
    </w:p>
    <w:p w14:paraId="465AD5AA" w14:textId="447ACC6A" w:rsidR="00E7481A" w:rsidRDefault="00E7481A" w:rsidP="008D49CB">
      <w:pPr>
        <w:spacing w:after="0" w:line="480" w:lineRule="auto"/>
        <w:ind w:firstLine="709"/>
        <w:jc w:val="both"/>
        <w:rPr>
          <w:rFonts w:ascii="Arial" w:hAnsi="Arial" w:cs="Arial"/>
          <w:sz w:val="24"/>
        </w:rPr>
      </w:pPr>
      <w:r w:rsidRPr="001A68FF">
        <w:rPr>
          <w:rFonts w:ascii="Arial" w:hAnsi="Arial" w:cs="Arial"/>
          <w:sz w:val="24"/>
        </w:rPr>
        <w:t xml:space="preserve">Além da DAM, a deposição de rejeitos piritosos de forma inadequada </w:t>
      </w:r>
      <w:r w:rsidR="005A79C9" w:rsidRPr="001A68FF">
        <w:rPr>
          <w:rFonts w:ascii="Arial" w:hAnsi="Arial" w:cs="Arial"/>
          <w:sz w:val="24"/>
        </w:rPr>
        <w:t xml:space="preserve">gerou e continua gerando </w:t>
      </w:r>
      <w:r w:rsidRPr="001A68FF">
        <w:rPr>
          <w:rFonts w:ascii="Arial" w:hAnsi="Arial" w:cs="Arial"/>
          <w:sz w:val="24"/>
        </w:rPr>
        <w:t xml:space="preserve">sérios problemas ambientais, associados a contaminação tanto do solo quanto da água superficial e </w:t>
      </w:r>
      <w:r w:rsidRPr="001E3F9C">
        <w:rPr>
          <w:rFonts w:ascii="Arial" w:hAnsi="Arial" w:cs="Arial"/>
          <w:sz w:val="24"/>
        </w:rPr>
        <w:t>subterrânea (CAMPOS; ALMEIDA; SOUZA, 2003).</w:t>
      </w:r>
      <w:r w:rsidRPr="001A68FF">
        <w:rPr>
          <w:rFonts w:ascii="Arial" w:hAnsi="Arial" w:cs="Arial"/>
          <w:sz w:val="24"/>
        </w:rPr>
        <w:t xml:space="preserve"> Mesmo após o término das operações de extração e beneficiamento do carvão, a geração de poluentes continua ativa, sendo extremamente danosa ao meio ambiente por décadas, e alguns casos, centenas de anos (ALEXANDRE, 1996).</w:t>
      </w:r>
    </w:p>
    <w:p w14:paraId="1B8A537F" w14:textId="3684731F" w:rsidR="0082424F" w:rsidRDefault="008D49CB" w:rsidP="008D49CB">
      <w:pPr>
        <w:spacing w:after="0" w:line="48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</w:t>
      </w:r>
      <w:r w:rsidR="005A79C9">
        <w:rPr>
          <w:rFonts w:ascii="Arial" w:hAnsi="Arial" w:cs="Arial"/>
          <w:sz w:val="24"/>
        </w:rPr>
        <w:t xml:space="preserve">e cenário de </w:t>
      </w:r>
      <w:r>
        <w:rPr>
          <w:rFonts w:ascii="Arial" w:hAnsi="Arial" w:cs="Arial"/>
          <w:sz w:val="24"/>
        </w:rPr>
        <w:t xml:space="preserve">intensa degradação </w:t>
      </w:r>
      <w:r w:rsidRPr="00924E27">
        <w:rPr>
          <w:rFonts w:ascii="Arial" w:hAnsi="Arial" w:cs="Arial"/>
          <w:sz w:val="24"/>
        </w:rPr>
        <w:t>co</w:t>
      </w:r>
      <w:r w:rsidR="005A79C9">
        <w:rPr>
          <w:rFonts w:ascii="Arial" w:hAnsi="Arial" w:cs="Arial"/>
          <w:sz w:val="24"/>
        </w:rPr>
        <w:t xml:space="preserve">locou a Bacia Carbonífera Catarinense </w:t>
      </w:r>
      <w:r w:rsidRPr="00B242FC">
        <w:rPr>
          <w:rFonts w:ascii="Arial" w:hAnsi="Arial" w:cs="Arial"/>
          <w:sz w:val="24"/>
        </w:rPr>
        <w:t>entre as 14 Áreas Críticas Nacionais para efeito de controle da poluição e conservação da qualidade ambiental (BRASIL, 1980</w:t>
      </w:r>
      <w:r w:rsidR="00E7481A" w:rsidRPr="00B242FC">
        <w:rPr>
          <w:rFonts w:ascii="Arial" w:hAnsi="Arial" w:cs="Arial"/>
          <w:sz w:val="24"/>
        </w:rPr>
        <w:t>; RAVAZZOLLI, 2013</w:t>
      </w:r>
      <w:r w:rsidRPr="00B242FC">
        <w:rPr>
          <w:rFonts w:ascii="Arial" w:hAnsi="Arial" w:cs="Arial"/>
          <w:sz w:val="24"/>
        </w:rPr>
        <w:t>).</w:t>
      </w:r>
      <w:r>
        <w:rPr>
          <w:rFonts w:ascii="Arial" w:hAnsi="Arial" w:cs="Arial"/>
          <w:sz w:val="24"/>
        </w:rPr>
        <w:t xml:space="preserve"> </w:t>
      </w:r>
    </w:p>
    <w:p w14:paraId="73504EFA" w14:textId="1F864604" w:rsidR="00084D34" w:rsidRPr="00F00011" w:rsidRDefault="00084D34" w:rsidP="00084D34">
      <w:pPr>
        <w:pStyle w:val="NORMAL0"/>
        <w:spacing w:line="480" w:lineRule="auto"/>
        <w:rPr>
          <w:szCs w:val="24"/>
        </w:rPr>
      </w:pPr>
      <w:r>
        <w:rPr>
          <w:szCs w:val="24"/>
        </w:rPr>
        <w:lastRenderedPageBreak/>
        <w:t>Os</w:t>
      </w:r>
      <w:r w:rsidRPr="00F00011">
        <w:rPr>
          <w:szCs w:val="24"/>
        </w:rPr>
        <w:t xml:space="preserve"> valores de referência são em tese</w:t>
      </w:r>
      <w:r w:rsidR="0071661E">
        <w:rPr>
          <w:szCs w:val="24"/>
        </w:rPr>
        <w:t>,</w:t>
      </w:r>
      <w:r w:rsidRPr="00F00011">
        <w:rPr>
          <w:szCs w:val="24"/>
        </w:rPr>
        <w:t xml:space="preserve"> concentrações </w:t>
      </w:r>
      <w:r w:rsidR="0071661E">
        <w:rPr>
          <w:szCs w:val="24"/>
        </w:rPr>
        <w:t>naturais</w:t>
      </w:r>
      <w:r w:rsidRPr="00F00011">
        <w:rPr>
          <w:szCs w:val="24"/>
        </w:rPr>
        <w:t xml:space="preserve"> (valores de </w:t>
      </w:r>
      <w:r w:rsidRPr="006B1D27">
        <w:rPr>
          <w:i/>
          <w:szCs w:val="24"/>
        </w:rPr>
        <w:t>background</w:t>
      </w:r>
      <w:r w:rsidR="0071661E">
        <w:rPr>
          <w:szCs w:val="24"/>
        </w:rPr>
        <w:t>)</w:t>
      </w:r>
      <w:r w:rsidRPr="00F00011">
        <w:rPr>
          <w:szCs w:val="24"/>
        </w:rPr>
        <w:t xml:space="preserve"> de uma substância. Entretanto, tais valores de referência estabelecidos </w:t>
      </w:r>
      <w:r w:rsidR="0071661E">
        <w:rPr>
          <w:szCs w:val="24"/>
        </w:rPr>
        <w:t xml:space="preserve">a nível </w:t>
      </w:r>
      <w:r w:rsidR="0071661E" w:rsidRPr="00B242FC">
        <w:rPr>
          <w:szCs w:val="24"/>
        </w:rPr>
        <w:t xml:space="preserve">nacional (BRASIL, </w:t>
      </w:r>
      <w:r w:rsidR="00B242FC" w:rsidRPr="00B242FC">
        <w:rPr>
          <w:szCs w:val="24"/>
        </w:rPr>
        <w:t>2005</w:t>
      </w:r>
      <w:r w:rsidR="00B242FC" w:rsidRPr="00EA5ED6">
        <w:rPr>
          <w:szCs w:val="24"/>
        </w:rPr>
        <w:t>; 2008; 2009; 2011</w:t>
      </w:r>
      <w:r w:rsidR="0071661E">
        <w:rPr>
          <w:szCs w:val="24"/>
        </w:rPr>
        <w:t>) ou internacional (</w:t>
      </w:r>
      <w:r w:rsidR="00B242FC" w:rsidRPr="001A68FF">
        <w:rPr>
          <w:szCs w:val="24"/>
        </w:rPr>
        <w:t>VROM, 19</w:t>
      </w:r>
      <w:r w:rsidR="0085124C">
        <w:rPr>
          <w:szCs w:val="24"/>
        </w:rPr>
        <w:t>94</w:t>
      </w:r>
      <w:r w:rsidR="00B242FC">
        <w:rPr>
          <w:szCs w:val="24"/>
        </w:rPr>
        <w:t xml:space="preserve"> e </w:t>
      </w:r>
      <w:r w:rsidR="0085124C">
        <w:rPr>
          <w:szCs w:val="24"/>
        </w:rPr>
        <w:t>US</w:t>
      </w:r>
      <w:r w:rsidR="00B242FC" w:rsidRPr="001A68FF">
        <w:rPr>
          <w:szCs w:val="24"/>
        </w:rPr>
        <w:t>EPA, 1996)</w:t>
      </w:r>
      <w:r w:rsidR="00B242FC">
        <w:rPr>
          <w:szCs w:val="24"/>
        </w:rPr>
        <w:t>,</w:t>
      </w:r>
      <w:r w:rsidR="0071661E">
        <w:rPr>
          <w:szCs w:val="24"/>
        </w:rPr>
        <w:t xml:space="preserve"> podem em </w:t>
      </w:r>
      <w:r w:rsidRPr="00F00011">
        <w:rPr>
          <w:szCs w:val="24"/>
        </w:rPr>
        <w:t>muitos casos</w:t>
      </w:r>
      <w:r w:rsidR="0071661E">
        <w:rPr>
          <w:szCs w:val="24"/>
        </w:rPr>
        <w:t>,</w:t>
      </w:r>
      <w:r w:rsidRPr="00F00011">
        <w:rPr>
          <w:szCs w:val="24"/>
        </w:rPr>
        <w:t xml:space="preserve"> não corresponde</w:t>
      </w:r>
      <w:r w:rsidR="001E3F9C">
        <w:rPr>
          <w:szCs w:val="24"/>
        </w:rPr>
        <w:t>r</w:t>
      </w:r>
      <w:r w:rsidRPr="00F00011">
        <w:rPr>
          <w:szCs w:val="24"/>
        </w:rPr>
        <w:t xml:space="preserve"> à realidade local, </w:t>
      </w:r>
      <w:r w:rsidR="0071661E">
        <w:rPr>
          <w:szCs w:val="24"/>
        </w:rPr>
        <w:t xml:space="preserve">uma vez que </w:t>
      </w:r>
      <w:r w:rsidRPr="00F00011">
        <w:rPr>
          <w:szCs w:val="24"/>
        </w:rPr>
        <w:t xml:space="preserve">esta </w:t>
      </w:r>
      <w:r w:rsidR="0071661E">
        <w:rPr>
          <w:szCs w:val="24"/>
        </w:rPr>
        <w:t xml:space="preserve">é </w:t>
      </w:r>
      <w:r w:rsidRPr="00F00011">
        <w:rPr>
          <w:szCs w:val="24"/>
        </w:rPr>
        <w:t>influenciada por fatores litológicos, pedológicos e climáticos.</w:t>
      </w:r>
    </w:p>
    <w:p w14:paraId="67D721C8" w14:textId="1C87BF66" w:rsidR="00BE2225" w:rsidRPr="00F00011" w:rsidRDefault="00E46969" w:rsidP="00D5319E">
      <w:pPr>
        <w:pStyle w:val="NORMAL0"/>
        <w:spacing w:line="480" w:lineRule="auto"/>
        <w:rPr>
          <w:szCs w:val="24"/>
        </w:rPr>
      </w:pPr>
      <w:r w:rsidRPr="00F00011">
        <w:rPr>
          <w:szCs w:val="24"/>
        </w:rPr>
        <w:t>Neste sentido, o presente trabalho pretende</w:t>
      </w:r>
      <w:r w:rsidR="001E3F9C">
        <w:rPr>
          <w:szCs w:val="24"/>
        </w:rPr>
        <w:t>u</w:t>
      </w:r>
      <w:r w:rsidRPr="00F00011">
        <w:rPr>
          <w:szCs w:val="24"/>
        </w:rPr>
        <w:t xml:space="preserve"> estabelecer valores de </w:t>
      </w:r>
      <w:r w:rsidR="006B1D27" w:rsidRPr="006B1D27">
        <w:rPr>
          <w:i/>
          <w:szCs w:val="24"/>
        </w:rPr>
        <w:t>background</w:t>
      </w:r>
      <w:r w:rsidRPr="00F00011">
        <w:rPr>
          <w:szCs w:val="24"/>
        </w:rPr>
        <w:t xml:space="preserve"> </w:t>
      </w:r>
      <w:r w:rsidR="00BE2225" w:rsidRPr="00F00011">
        <w:rPr>
          <w:szCs w:val="24"/>
        </w:rPr>
        <w:t xml:space="preserve">geoquímico </w:t>
      </w:r>
      <w:r w:rsidR="00917D94" w:rsidRPr="00F00011">
        <w:rPr>
          <w:szCs w:val="24"/>
        </w:rPr>
        <w:t xml:space="preserve">na água subterrânea oriundas de nascentes </w:t>
      </w:r>
      <w:r w:rsidR="00BE2225" w:rsidRPr="00F00011">
        <w:rPr>
          <w:szCs w:val="24"/>
        </w:rPr>
        <w:t>para os parâmetros analíticos pH, Ferro, Manganês e Sulfatos, uma vez que estes representam os principais indicadores de contaminação ligada a atividades da cadeia de produção do carvão</w:t>
      </w:r>
      <w:r w:rsidR="00917D94" w:rsidRPr="00F00011">
        <w:rPr>
          <w:szCs w:val="24"/>
        </w:rPr>
        <w:t>.</w:t>
      </w:r>
    </w:p>
    <w:p w14:paraId="530B3FAC" w14:textId="14B6D9C0" w:rsidR="00121E91" w:rsidRDefault="00F0425F" w:rsidP="00655545">
      <w:pPr>
        <w:pStyle w:val="Ttulo1"/>
      </w:pPr>
      <w:r>
        <w:t>MATERIA</w:t>
      </w:r>
      <w:r w:rsidR="00121E91">
        <w:t>IS E MÉTODO</w:t>
      </w:r>
    </w:p>
    <w:p w14:paraId="7196966D" w14:textId="77777777" w:rsidR="00F24CA1" w:rsidRPr="00F24CA1" w:rsidRDefault="00F24CA1" w:rsidP="00F24CA1"/>
    <w:p w14:paraId="3915D7D9" w14:textId="77777777" w:rsidR="00786325" w:rsidRDefault="00786325" w:rsidP="00786325">
      <w:pPr>
        <w:pStyle w:val="Ttulo2"/>
      </w:pPr>
      <w:r>
        <w:t>2.1 Área de estudo</w:t>
      </w:r>
    </w:p>
    <w:p w14:paraId="16066A3D" w14:textId="77777777" w:rsidR="00786325" w:rsidRDefault="00786325" w:rsidP="00655545"/>
    <w:p w14:paraId="0F2667CD" w14:textId="5A84DEDC" w:rsidR="00D27327" w:rsidRDefault="00992ED5" w:rsidP="00D5319E">
      <w:pPr>
        <w:pStyle w:val="NORMAL0"/>
        <w:spacing w:line="480" w:lineRule="auto"/>
        <w:rPr>
          <w:szCs w:val="24"/>
        </w:rPr>
      </w:pPr>
      <w:r w:rsidRPr="00FA6E88">
        <w:rPr>
          <w:szCs w:val="24"/>
        </w:rPr>
        <w:t>A área de estudo compreend</w:t>
      </w:r>
      <w:r w:rsidR="00C55EC7">
        <w:rPr>
          <w:szCs w:val="24"/>
        </w:rPr>
        <w:t>e o</w:t>
      </w:r>
      <w:r w:rsidRPr="00FA6E88">
        <w:rPr>
          <w:szCs w:val="24"/>
        </w:rPr>
        <w:t xml:space="preserve"> mun</w:t>
      </w:r>
      <w:r w:rsidR="002C6584">
        <w:rPr>
          <w:szCs w:val="24"/>
        </w:rPr>
        <w:t xml:space="preserve">icípio de Criciúma, situado no sul do estado de </w:t>
      </w:r>
      <w:r w:rsidRPr="00FA6E88">
        <w:rPr>
          <w:szCs w:val="24"/>
        </w:rPr>
        <w:t>Santa Catarin</w:t>
      </w:r>
      <w:r w:rsidR="002C6584">
        <w:rPr>
          <w:szCs w:val="24"/>
        </w:rPr>
        <w:t>a, a uma latitude de 28°42’30"S e</w:t>
      </w:r>
      <w:r w:rsidRPr="00FA6E88">
        <w:rPr>
          <w:szCs w:val="24"/>
        </w:rPr>
        <w:t xml:space="preserve"> longitude de 49°22’30"W, tendo como confrontações, ao norte os municípios de Cocal do Sul, Morro da Fumaça e Siderópolis, ao sul com Maracajá e Araranguá, a</w:t>
      </w:r>
      <w:r w:rsidR="002C6584">
        <w:rPr>
          <w:szCs w:val="24"/>
        </w:rPr>
        <w:t>o</w:t>
      </w:r>
      <w:r w:rsidRPr="00FA6E88">
        <w:rPr>
          <w:szCs w:val="24"/>
        </w:rPr>
        <w:t xml:space="preserve"> leste Içara e a oeste Forquilhinha e Nova Veneza</w:t>
      </w:r>
      <w:r w:rsidR="00C55EC7">
        <w:rPr>
          <w:szCs w:val="24"/>
        </w:rPr>
        <w:t xml:space="preserve"> (</w:t>
      </w:r>
      <w:r w:rsidR="00C55EC7">
        <w:rPr>
          <w:szCs w:val="24"/>
        </w:rPr>
        <w:fldChar w:fldCharType="begin"/>
      </w:r>
      <w:r w:rsidR="00C55EC7">
        <w:rPr>
          <w:szCs w:val="24"/>
        </w:rPr>
        <w:instrText xml:space="preserve"> REF _Ref533602110 \h </w:instrText>
      </w:r>
      <w:r w:rsidR="00A16E62">
        <w:rPr>
          <w:szCs w:val="24"/>
        </w:rPr>
        <w:instrText xml:space="preserve"> \* MERGEFORMAT </w:instrText>
      </w:r>
      <w:r w:rsidR="00C55EC7">
        <w:rPr>
          <w:szCs w:val="24"/>
        </w:rPr>
      </w:r>
      <w:r w:rsidR="00C55EC7">
        <w:rPr>
          <w:szCs w:val="24"/>
        </w:rPr>
        <w:fldChar w:fldCharType="separate"/>
      </w:r>
      <w:r w:rsidR="00C55EC7" w:rsidRPr="00A16E62">
        <w:rPr>
          <w:szCs w:val="24"/>
        </w:rPr>
        <w:t>Figura 1</w:t>
      </w:r>
      <w:r w:rsidR="00C55EC7">
        <w:rPr>
          <w:szCs w:val="24"/>
        </w:rPr>
        <w:fldChar w:fldCharType="end"/>
      </w:r>
      <w:r w:rsidR="00C55EC7">
        <w:rPr>
          <w:szCs w:val="24"/>
        </w:rPr>
        <w:t>)</w:t>
      </w:r>
      <w:r w:rsidRPr="00FA6E88">
        <w:rPr>
          <w:szCs w:val="24"/>
        </w:rPr>
        <w:t>.</w:t>
      </w:r>
      <w:r w:rsidR="00A16E62">
        <w:rPr>
          <w:szCs w:val="24"/>
        </w:rPr>
        <w:t xml:space="preserve"> A figura 1 apresenta a espacialização das nascentes avaliadas, </w:t>
      </w:r>
      <w:r w:rsidR="00A16E62" w:rsidRPr="00A16E62">
        <w:rPr>
          <w:szCs w:val="24"/>
        </w:rPr>
        <w:t xml:space="preserve">em azul as </w:t>
      </w:r>
      <w:r w:rsidR="00A16E62">
        <w:rPr>
          <w:szCs w:val="24"/>
        </w:rPr>
        <w:t xml:space="preserve">nascentes </w:t>
      </w:r>
      <w:r w:rsidR="00A16E62" w:rsidRPr="00A16E62">
        <w:rPr>
          <w:szCs w:val="24"/>
        </w:rPr>
        <w:t xml:space="preserve">utilizadas </w:t>
      </w:r>
      <w:r w:rsidR="002C6584">
        <w:rPr>
          <w:szCs w:val="24"/>
        </w:rPr>
        <w:t xml:space="preserve">nos tratamentos estatísticos </w:t>
      </w:r>
      <w:r w:rsidR="00A16E62" w:rsidRPr="00A16E62">
        <w:rPr>
          <w:szCs w:val="24"/>
        </w:rPr>
        <w:t>e em vermelho as descartadas devido a indicação de contaminação</w:t>
      </w:r>
      <w:r w:rsidR="00A16E62">
        <w:rPr>
          <w:szCs w:val="24"/>
        </w:rPr>
        <w:t xml:space="preserve"> por atividades da cadeia produtiva de carvão</w:t>
      </w:r>
      <w:r w:rsidR="00A16E62" w:rsidRPr="00A16E62">
        <w:rPr>
          <w:szCs w:val="24"/>
        </w:rPr>
        <w:t>.</w:t>
      </w:r>
      <w:bookmarkStart w:id="0" w:name="_GoBack"/>
      <w:bookmarkEnd w:id="0"/>
    </w:p>
    <w:p w14:paraId="55EB72AC" w14:textId="77777777" w:rsidR="008304C7" w:rsidRDefault="008304C7" w:rsidP="00D5319E">
      <w:pPr>
        <w:pStyle w:val="NORMAL0"/>
        <w:spacing w:line="480" w:lineRule="auto"/>
        <w:rPr>
          <w:szCs w:val="24"/>
        </w:rPr>
      </w:pPr>
    </w:p>
    <w:p w14:paraId="76FBBD0B" w14:textId="77777777" w:rsidR="00C55EC7" w:rsidRDefault="00191D37" w:rsidP="00F97F8C">
      <w:pPr>
        <w:pStyle w:val="Legenda"/>
        <w:jc w:val="center"/>
      </w:pPr>
      <w:r w:rsidRPr="00191D37">
        <w:rPr>
          <w:noProof/>
          <w:lang w:eastAsia="pt-BR"/>
        </w:rPr>
        <w:lastRenderedPageBreak/>
        <w:drawing>
          <wp:inline distT="0" distB="0" distL="0" distR="0" wp14:anchorId="060B5482" wp14:editId="03480E6C">
            <wp:extent cx="4680000" cy="3556799"/>
            <wp:effectExtent l="0" t="0" r="635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5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3B5A3" w14:textId="03F010EB" w:rsidR="00B8492C" w:rsidRDefault="00B8492C" w:rsidP="00B8492C">
      <w:pPr>
        <w:pStyle w:val="Legenda"/>
        <w:rPr>
          <w:sz w:val="24"/>
        </w:rPr>
      </w:pPr>
      <w:bookmarkStart w:id="1" w:name="_Ref533602110"/>
      <w:r w:rsidRPr="00B8492C">
        <w:rPr>
          <w:sz w:val="24"/>
        </w:rPr>
        <w:t xml:space="preserve">Figura </w:t>
      </w:r>
      <w:r w:rsidRPr="00B8492C">
        <w:rPr>
          <w:sz w:val="24"/>
        </w:rPr>
        <w:fldChar w:fldCharType="begin"/>
      </w:r>
      <w:r w:rsidRPr="00B8492C">
        <w:rPr>
          <w:sz w:val="24"/>
        </w:rPr>
        <w:instrText xml:space="preserve"> SEQ Figura \* ARABIC </w:instrText>
      </w:r>
      <w:r w:rsidRPr="00B8492C">
        <w:rPr>
          <w:sz w:val="24"/>
        </w:rPr>
        <w:fldChar w:fldCharType="separate"/>
      </w:r>
      <w:r w:rsidR="00D30A85">
        <w:rPr>
          <w:noProof/>
          <w:sz w:val="24"/>
        </w:rPr>
        <w:t>1</w:t>
      </w:r>
      <w:r w:rsidRPr="00B8492C">
        <w:rPr>
          <w:noProof/>
          <w:sz w:val="24"/>
        </w:rPr>
        <w:fldChar w:fldCharType="end"/>
      </w:r>
      <w:bookmarkEnd w:id="1"/>
      <w:r w:rsidRPr="00B8492C">
        <w:rPr>
          <w:sz w:val="24"/>
        </w:rPr>
        <w:t>: Localização da área de estudo, com destaque para as nascentes avaliadas</w:t>
      </w:r>
      <w:r w:rsidR="00157F44">
        <w:rPr>
          <w:sz w:val="24"/>
        </w:rPr>
        <w:t xml:space="preserve">. </w:t>
      </w:r>
    </w:p>
    <w:p w14:paraId="2A32ED51" w14:textId="77777777" w:rsidR="00A16E62" w:rsidRPr="00A16E62" w:rsidRDefault="00A16E62" w:rsidP="00A16E62"/>
    <w:p w14:paraId="50FA0A39" w14:textId="13E7064C" w:rsidR="00097055" w:rsidRDefault="00DF75A7" w:rsidP="00D5319E">
      <w:pPr>
        <w:pStyle w:val="NORMAL0"/>
        <w:spacing w:line="480" w:lineRule="auto"/>
      </w:pPr>
      <w:r>
        <w:t xml:space="preserve">O cenário geomorfológico do município de </w:t>
      </w:r>
      <w:r w:rsidR="00A16E62">
        <w:t>Criciúma</w:t>
      </w:r>
      <w:r>
        <w:t xml:space="preserve"> é dividido em três domínios </w:t>
      </w:r>
      <w:r w:rsidRPr="00342CD8">
        <w:t>morfoestruturais</w:t>
      </w:r>
      <w:r w:rsidR="00A92A45">
        <w:t xml:space="preserve"> (</w:t>
      </w:r>
      <w:r w:rsidR="00A92A45">
        <w:fldChar w:fldCharType="begin"/>
      </w:r>
      <w:r w:rsidR="00A92A45">
        <w:instrText xml:space="preserve"> REF _Ref522715269 \h </w:instrText>
      </w:r>
      <w:r w:rsidR="00A92A45">
        <w:fldChar w:fldCharType="separate"/>
      </w:r>
      <w:r w:rsidR="00D30A85" w:rsidRPr="00B8492C">
        <w:t>Figura</w:t>
      </w:r>
      <w:r w:rsidR="00A92A45">
        <w:fldChar w:fldCharType="end"/>
      </w:r>
      <w:r w:rsidR="00A24052">
        <w:t xml:space="preserve"> 2</w:t>
      </w:r>
      <w:r w:rsidR="00A92A45">
        <w:t>)</w:t>
      </w:r>
      <w:r w:rsidR="00097055" w:rsidRPr="00342CD8">
        <w:t xml:space="preserve">: </w:t>
      </w:r>
      <w:r w:rsidR="00F0425F">
        <w:t xml:space="preserve">i) </w:t>
      </w:r>
      <w:r w:rsidR="00097055" w:rsidRPr="00342CD8">
        <w:t>Embasamentos em Estilos Complexos</w:t>
      </w:r>
      <w:r w:rsidR="00F0425F">
        <w:t>; ii)</w:t>
      </w:r>
      <w:r w:rsidR="00097055" w:rsidRPr="00342CD8">
        <w:t xml:space="preserve"> Bacias e Coberturas Sedimentares</w:t>
      </w:r>
      <w:r w:rsidR="00F0425F">
        <w:t>; iii)</w:t>
      </w:r>
      <w:r w:rsidR="00097055" w:rsidRPr="00342CD8">
        <w:t xml:space="preserve"> Depósitos </w:t>
      </w:r>
      <w:r w:rsidR="00097055" w:rsidRPr="00924E27">
        <w:t>Sedimentares</w:t>
      </w:r>
      <w:r w:rsidRPr="00924E27">
        <w:t xml:space="preserve"> (GAPLAN, 1986)</w:t>
      </w:r>
      <w:r w:rsidR="00097055" w:rsidRPr="00924E27">
        <w:t>.</w:t>
      </w:r>
      <w:r>
        <w:t xml:space="preserve"> </w:t>
      </w:r>
      <w:bookmarkStart w:id="2" w:name="_Ref499027110"/>
      <w:r w:rsidR="00097055" w:rsidRPr="00342CD8">
        <w:t xml:space="preserve">O domínio Embasamentos em Estilos Complexos </w:t>
      </w:r>
      <w:r w:rsidR="00740738" w:rsidRPr="00342CD8">
        <w:t>apresenta pequenas ocorrências na porção nordeste da área de estudo</w:t>
      </w:r>
      <w:bookmarkEnd w:id="2"/>
      <w:r w:rsidR="00696B74" w:rsidRPr="00342CD8">
        <w:t>, sendo caracterizado por ocorrências do Granito Imaruí Capivarí, o qual se caracter</w:t>
      </w:r>
      <w:r w:rsidR="003D55F6">
        <w:t>iza</w:t>
      </w:r>
      <w:r w:rsidR="00696B74" w:rsidRPr="00342CD8">
        <w:t xml:space="preserve"> por sieno e monzogranitos, cor cinza a rosa, frequentemente leucocráticos. </w:t>
      </w:r>
      <w:r w:rsidR="00097055" w:rsidRPr="00342CD8">
        <w:t xml:space="preserve">O domínio Bacias e Coberturas Sedimentares </w:t>
      </w:r>
      <w:r w:rsidR="00740738" w:rsidRPr="00342CD8">
        <w:t>é</w:t>
      </w:r>
      <w:r w:rsidR="00097055" w:rsidRPr="00342CD8">
        <w:t xml:space="preserve"> representado pela região geomorfológica denominada Depressão do Sudeste Ca</w:t>
      </w:r>
      <w:r w:rsidR="00740738" w:rsidRPr="00342CD8">
        <w:t xml:space="preserve">tarinense, a qual </w:t>
      </w:r>
      <w:r w:rsidR="00097055" w:rsidRPr="00342CD8">
        <w:t xml:space="preserve">ocupa </w:t>
      </w:r>
      <w:r w:rsidR="00740738" w:rsidRPr="00342CD8">
        <w:t xml:space="preserve">toda a porção </w:t>
      </w:r>
      <w:r w:rsidR="003D55F6">
        <w:t>norte</w:t>
      </w:r>
      <w:r w:rsidR="003D55F6" w:rsidRPr="00342CD8">
        <w:t xml:space="preserve"> </w:t>
      </w:r>
      <w:r w:rsidR="00740738" w:rsidRPr="00342CD8">
        <w:t xml:space="preserve">da área e apresenta significativas ocorrências na porção inferior, </w:t>
      </w:r>
      <w:r w:rsidR="00097055" w:rsidRPr="00342CD8">
        <w:t xml:space="preserve">com relevo colinoso e vales ora encaixados ora abertos. Disseminados nesta </w:t>
      </w:r>
      <w:r w:rsidR="00B33C2F">
        <w:t>porção</w:t>
      </w:r>
      <w:r w:rsidR="00097055" w:rsidRPr="00342CD8">
        <w:t xml:space="preserve"> ocorrem </w:t>
      </w:r>
      <w:r w:rsidR="00097055" w:rsidRPr="00924E27">
        <w:t>relevos residuais de topo plano, mantidos por horizontes mais resistentes da rocha sedimentar ali presente (SILVA</w:t>
      </w:r>
      <w:r w:rsidRPr="00D5319E">
        <w:t>;</w:t>
      </w:r>
      <w:r w:rsidR="00097055" w:rsidRPr="00D5319E">
        <w:t xml:space="preserve"> LEITES, 2000).</w:t>
      </w:r>
    </w:p>
    <w:p w14:paraId="3111292A" w14:textId="77777777" w:rsidR="00A92A45" w:rsidRDefault="00A92A45" w:rsidP="00B8492C">
      <w:pPr>
        <w:spacing w:after="0" w:line="360" w:lineRule="auto"/>
        <w:jc w:val="center"/>
        <w:rPr>
          <w:rFonts w:ascii="Arial" w:eastAsia="Times New Roman" w:hAnsi="Arial" w:cs="Times New Roman"/>
          <w:sz w:val="24"/>
          <w:szCs w:val="20"/>
          <w:highlight w:val="yellow"/>
          <w:lang w:bidi="en-US"/>
        </w:rPr>
      </w:pPr>
      <w:r w:rsidRPr="00CF30EE">
        <w:rPr>
          <w:noProof/>
          <w:lang w:eastAsia="pt-BR"/>
        </w:rPr>
        <w:lastRenderedPageBreak/>
        <w:drawing>
          <wp:inline distT="0" distB="0" distL="0" distR="0" wp14:anchorId="7A6509B8" wp14:editId="3754DDD9">
            <wp:extent cx="5040000" cy="2962032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62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DBBCF" w14:textId="74A5906F" w:rsidR="00B8492C" w:rsidRPr="00B8492C" w:rsidRDefault="00B8492C" w:rsidP="00B8492C">
      <w:pPr>
        <w:pStyle w:val="Legenda"/>
        <w:spacing w:after="0"/>
        <w:rPr>
          <w:sz w:val="24"/>
        </w:rPr>
      </w:pPr>
      <w:bookmarkStart w:id="3" w:name="_Ref522715269"/>
      <w:bookmarkStart w:id="4" w:name="_Toc501321844"/>
      <w:r w:rsidRPr="00B8492C">
        <w:rPr>
          <w:sz w:val="24"/>
        </w:rPr>
        <w:t>Figura</w:t>
      </w:r>
      <w:bookmarkEnd w:id="3"/>
      <w:r w:rsidRPr="00B8492C">
        <w:rPr>
          <w:sz w:val="24"/>
        </w:rPr>
        <w:t xml:space="preserve"> </w:t>
      </w:r>
      <w:r w:rsidRPr="00B8492C">
        <w:rPr>
          <w:sz w:val="24"/>
        </w:rPr>
        <w:fldChar w:fldCharType="begin"/>
      </w:r>
      <w:r w:rsidRPr="00B8492C">
        <w:rPr>
          <w:sz w:val="24"/>
        </w:rPr>
        <w:instrText xml:space="preserve"> SEQ Figura \* ARABIC </w:instrText>
      </w:r>
      <w:r w:rsidRPr="00B8492C">
        <w:rPr>
          <w:sz w:val="24"/>
        </w:rPr>
        <w:fldChar w:fldCharType="separate"/>
      </w:r>
      <w:r w:rsidR="00D30A85">
        <w:rPr>
          <w:noProof/>
          <w:sz w:val="24"/>
        </w:rPr>
        <w:t>2</w:t>
      </w:r>
      <w:r w:rsidRPr="00B8492C">
        <w:rPr>
          <w:noProof/>
          <w:sz w:val="24"/>
        </w:rPr>
        <w:fldChar w:fldCharType="end"/>
      </w:r>
      <w:r w:rsidRPr="00B8492C">
        <w:rPr>
          <w:sz w:val="24"/>
        </w:rPr>
        <w:t>: Domínios morfoestruturais</w:t>
      </w:r>
      <w:r w:rsidR="00C55EC7">
        <w:rPr>
          <w:sz w:val="24"/>
        </w:rPr>
        <w:t>.</w:t>
      </w:r>
      <w:r w:rsidR="00B33C2F">
        <w:rPr>
          <w:sz w:val="24"/>
        </w:rPr>
        <w:t xml:space="preserve"> Modificado de</w:t>
      </w:r>
      <w:r w:rsidR="00C55EC7" w:rsidRPr="00B8492C">
        <w:rPr>
          <w:sz w:val="24"/>
        </w:rPr>
        <w:t xml:space="preserve"> </w:t>
      </w:r>
      <w:r w:rsidRPr="00B8492C">
        <w:rPr>
          <w:sz w:val="24"/>
        </w:rPr>
        <w:t>GAPLAN</w:t>
      </w:r>
      <w:r w:rsidR="00C55EC7">
        <w:rPr>
          <w:sz w:val="24"/>
        </w:rPr>
        <w:t xml:space="preserve"> (</w:t>
      </w:r>
      <w:r w:rsidRPr="00B8492C">
        <w:rPr>
          <w:sz w:val="24"/>
        </w:rPr>
        <w:t>1986).</w:t>
      </w:r>
      <w:bookmarkEnd w:id="4"/>
    </w:p>
    <w:p w14:paraId="680CA8E3" w14:textId="77777777" w:rsidR="00B8492C" w:rsidRPr="00B8492C" w:rsidRDefault="00B8492C" w:rsidP="00B8492C"/>
    <w:p w14:paraId="2367165C" w14:textId="29290424" w:rsidR="00696B74" w:rsidRPr="00817CF3" w:rsidRDefault="00696B74" w:rsidP="00D5319E">
      <w:pPr>
        <w:pStyle w:val="NORMAL0"/>
        <w:spacing w:line="480" w:lineRule="auto"/>
      </w:pPr>
      <w:r w:rsidRPr="00924E27">
        <w:t xml:space="preserve">Este domínio </w:t>
      </w:r>
      <w:r w:rsidR="00DF75A7" w:rsidRPr="00924E27">
        <w:t xml:space="preserve">encontra-se inserido </w:t>
      </w:r>
      <w:r w:rsidRPr="00924E27">
        <w:t xml:space="preserve">no contexto geológico da borda sul-sudeste da Bacia do Paraná, </w:t>
      </w:r>
      <w:r w:rsidR="00B33C2F">
        <w:t>onde</w:t>
      </w:r>
      <w:r w:rsidRPr="00924E27">
        <w:t xml:space="preserve"> ocorrem às formações sedimentares Rio Bonito, Palermo, Irati, Rio do Rasto além da ocorrência de afloramentos de rochas vulcânicas </w:t>
      </w:r>
      <w:r w:rsidRPr="00817CF3">
        <w:t>extrusivas e intrusivas da Formação Serra Geral (</w:t>
      </w:r>
      <w:r w:rsidRPr="00817CF3">
        <w:fldChar w:fldCharType="begin"/>
      </w:r>
      <w:r w:rsidRPr="00817CF3">
        <w:instrText xml:space="preserve"> REF _Ref516669932 \h  \* MERGEFORMAT </w:instrText>
      </w:r>
      <w:r w:rsidRPr="00817CF3">
        <w:fldChar w:fldCharType="separate"/>
      </w:r>
      <w:r w:rsidR="00D30A85" w:rsidRPr="00817CF3">
        <w:t>Figura 3</w:t>
      </w:r>
      <w:r w:rsidRPr="00817CF3">
        <w:fldChar w:fldCharType="end"/>
      </w:r>
      <w:r w:rsidR="00B33C2F" w:rsidRPr="00817CF3">
        <w:t>A</w:t>
      </w:r>
      <w:r w:rsidRPr="00817CF3">
        <w:t>).</w:t>
      </w:r>
    </w:p>
    <w:p w14:paraId="44D17F3E" w14:textId="77777777" w:rsidR="00192A9E" w:rsidRPr="00817CF3" w:rsidRDefault="00192A9E" w:rsidP="00D5319E">
      <w:pPr>
        <w:pStyle w:val="NORMAL0"/>
        <w:spacing w:line="480" w:lineRule="auto"/>
      </w:pPr>
      <w:r w:rsidRPr="00817CF3">
        <w:t>A Formação Rio Bonito caracteriza-se por apresentar um conjunto de rochas areníticas (arenitos finos a grossos - cinza-esbranquiçados, localmente conglomeráticos, com estratificações paralelas, cruzadas tabular e acanalada; arenitos sigmoidais; e arenitos quartzosos) associados à pelitos e camadas de carvão</w:t>
      </w:r>
      <w:r w:rsidR="004719FF" w:rsidRPr="00817CF3">
        <w:t xml:space="preserve"> (</w:t>
      </w:r>
      <w:r w:rsidR="00DF75A7" w:rsidRPr="00817CF3">
        <w:t xml:space="preserve">SCHNEIDER </w:t>
      </w:r>
      <w:r w:rsidR="004719FF" w:rsidRPr="00817CF3">
        <w:t>et al</w:t>
      </w:r>
      <w:r w:rsidR="00DF75A7" w:rsidRPr="00817CF3">
        <w:t>.,</w:t>
      </w:r>
      <w:r w:rsidR="004719FF" w:rsidRPr="00817CF3">
        <w:t xml:space="preserve"> 1974)</w:t>
      </w:r>
      <w:r w:rsidRPr="00817CF3">
        <w:t>.</w:t>
      </w:r>
    </w:p>
    <w:p w14:paraId="340B53BA" w14:textId="25867A82" w:rsidR="00192A9E" w:rsidRPr="00817CF3" w:rsidRDefault="00192A9E" w:rsidP="00D5319E">
      <w:pPr>
        <w:pStyle w:val="NORMAL0"/>
        <w:spacing w:line="480" w:lineRule="auto"/>
      </w:pPr>
      <w:r w:rsidRPr="00817CF3">
        <w:t>A Formação Palermo, é caracterizada por um espesso pacote de ritmitos</w:t>
      </w:r>
      <w:r w:rsidR="00244F70" w:rsidRPr="00817CF3">
        <w:t xml:space="preserve"> </w:t>
      </w:r>
      <w:r w:rsidRPr="00817CF3">
        <w:t xml:space="preserve">com interlaminação de areia, silte e argila, </w:t>
      </w:r>
      <w:r w:rsidR="00720636" w:rsidRPr="00817CF3">
        <w:t xml:space="preserve">e </w:t>
      </w:r>
      <w:r w:rsidRPr="00817CF3">
        <w:t xml:space="preserve">intenso retrabalhamento por ondas. A alternância de tonalidades claras e escuras </w:t>
      </w:r>
      <w:r w:rsidR="00DF75A7" w:rsidRPr="00817CF3">
        <w:t xml:space="preserve">evidência </w:t>
      </w:r>
      <w:r w:rsidRPr="00817CF3">
        <w:t xml:space="preserve">a intercalação de leitos arenosos e </w:t>
      </w:r>
      <w:r w:rsidR="00DD6689" w:rsidRPr="00817CF3">
        <w:t>siltico</w:t>
      </w:r>
      <w:r w:rsidRPr="00817CF3">
        <w:t>-argilosos, respectivamente</w:t>
      </w:r>
      <w:r w:rsidR="004719FF" w:rsidRPr="00817CF3">
        <w:t xml:space="preserve"> (</w:t>
      </w:r>
      <w:r w:rsidR="00DF75A7" w:rsidRPr="00817CF3">
        <w:t xml:space="preserve">SCHNEIDER </w:t>
      </w:r>
      <w:r w:rsidR="004719FF" w:rsidRPr="00817CF3">
        <w:t>et al</w:t>
      </w:r>
      <w:r w:rsidR="00DF75A7" w:rsidRPr="00817CF3">
        <w:t>.,</w:t>
      </w:r>
      <w:r w:rsidR="004719FF" w:rsidRPr="00817CF3">
        <w:t xml:space="preserve"> 1974).</w:t>
      </w:r>
      <w:r w:rsidRPr="00817CF3">
        <w:t xml:space="preserve"> </w:t>
      </w:r>
    </w:p>
    <w:p w14:paraId="3197D71F" w14:textId="0CC39498" w:rsidR="00192A9E" w:rsidRPr="00817CF3" w:rsidRDefault="00192A9E" w:rsidP="00D5319E">
      <w:pPr>
        <w:pStyle w:val="NORMAL0"/>
        <w:spacing w:line="480" w:lineRule="auto"/>
      </w:pPr>
      <w:r w:rsidRPr="00817CF3">
        <w:t xml:space="preserve">A Formação Irati caracteriza-se por ser essencialmente pelítica, sendo constituída, na sua base, por folhelhos e </w:t>
      </w:r>
      <w:r w:rsidR="00DD6689" w:rsidRPr="00817CF3">
        <w:t>siltítos</w:t>
      </w:r>
      <w:r w:rsidRPr="00817CF3">
        <w:t xml:space="preserve"> cinza-escuro, eventualmente cinza-</w:t>
      </w:r>
      <w:proofErr w:type="gramStart"/>
      <w:r w:rsidRPr="00817CF3">
        <w:lastRenderedPageBreak/>
        <w:t>claro</w:t>
      </w:r>
      <w:proofErr w:type="gramEnd"/>
      <w:r w:rsidRPr="00817CF3">
        <w:t xml:space="preserve"> a azulados. Quando intemperizados, os folhelhos adquirem tons amarelados, micáceos, mostrando desagregação conchoidal. No seu topo é formada por um pacote de folhelhos cinza-escuro a pretos, intercalados com folhelhos pirobetuminosos associados a lentes de margas creme a cinza-escuro, dolomíticas</w:t>
      </w:r>
      <w:r w:rsidR="004719FF" w:rsidRPr="00817CF3">
        <w:t xml:space="preserve"> (</w:t>
      </w:r>
      <w:r w:rsidR="00DF75A7" w:rsidRPr="00817CF3">
        <w:t xml:space="preserve">SCHNEIDER </w:t>
      </w:r>
      <w:r w:rsidR="004719FF" w:rsidRPr="00817CF3">
        <w:t>et al</w:t>
      </w:r>
      <w:r w:rsidR="00DF75A7" w:rsidRPr="00817CF3">
        <w:t>.,</w:t>
      </w:r>
      <w:r w:rsidR="004719FF" w:rsidRPr="00817CF3">
        <w:t xml:space="preserve"> 1974).</w:t>
      </w:r>
      <w:r w:rsidRPr="00817CF3">
        <w:t xml:space="preserve"> </w:t>
      </w:r>
    </w:p>
    <w:p w14:paraId="29247DDB" w14:textId="681000B6" w:rsidR="00192A9E" w:rsidRPr="00817CF3" w:rsidRDefault="00192A9E" w:rsidP="00D5319E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eastAsia="Times New Roman" w:hAnsi="Arial" w:cs="Times New Roman"/>
          <w:sz w:val="24"/>
          <w:szCs w:val="20"/>
          <w:lang w:bidi="en-US"/>
        </w:rPr>
      </w:pPr>
      <w:r w:rsidRPr="00817CF3">
        <w:rPr>
          <w:rFonts w:ascii="Arial" w:eastAsia="Times New Roman" w:hAnsi="Arial" w:cs="Times New Roman"/>
          <w:sz w:val="24"/>
          <w:szCs w:val="20"/>
          <w:lang w:bidi="en-US"/>
        </w:rPr>
        <w:t xml:space="preserve">A Formação Rio do Rasto apresenta um membro inferior, constituído por arenitos finos bem selecionados, intercalados com siltítos e argilitos e um membro superior constituído por lentes de arenitos finos, avermelhados, intercalados em </w:t>
      </w:r>
      <w:r w:rsidR="00DD6689" w:rsidRPr="00817CF3">
        <w:rPr>
          <w:rFonts w:ascii="Arial" w:eastAsia="Times New Roman" w:hAnsi="Arial" w:cs="Times New Roman"/>
          <w:sz w:val="24"/>
          <w:szCs w:val="20"/>
          <w:lang w:bidi="en-US"/>
        </w:rPr>
        <w:t>siltítos</w:t>
      </w:r>
      <w:r w:rsidRPr="00817CF3">
        <w:rPr>
          <w:rFonts w:ascii="Arial" w:eastAsia="Times New Roman" w:hAnsi="Arial" w:cs="Times New Roman"/>
          <w:sz w:val="24"/>
          <w:szCs w:val="20"/>
          <w:lang w:bidi="en-US"/>
        </w:rPr>
        <w:t xml:space="preserve"> e argilitos arroxeados</w:t>
      </w:r>
      <w:r w:rsidR="004719FF" w:rsidRPr="00817CF3">
        <w:rPr>
          <w:rFonts w:ascii="Arial" w:eastAsia="Times New Roman" w:hAnsi="Arial" w:cs="Times New Roman"/>
          <w:sz w:val="24"/>
          <w:szCs w:val="20"/>
          <w:lang w:bidi="en-US"/>
        </w:rPr>
        <w:t xml:space="preserve"> (</w:t>
      </w:r>
      <w:r w:rsidR="00DF75A7" w:rsidRPr="00817CF3">
        <w:rPr>
          <w:rFonts w:ascii="Arial" w:eastAsia="Times New Roman" w:hAnsi="Arial" w:cs="Times New Roman"/>
          <w:sz w:val="24"/>
          <w:szCs w:val="20"/>
          <w:lang w:bidi="en-US"/>
        </w:rPr>
        <w:t xml:space="preserve">SCHNEIDER </w:t>
      </w:r>
      <w:r w:rsidR="004719FF" w:rsidRPr="00817CF3">
        <w:rPr>
          <w:rFonts w:ascii="Arial" w:eastAsia="Times New Roman" w:hAnsi="Arial" w:cs="Times New Roman"/>
          <w:sz w:val="24"/>
          <w:szCs w:val="20"/>
          <w:lang w:bidi="en-US"/>
        </w:rPr>
        <w:t>et al</w:t>
      </w:r>
      <w:r w:rsidR="00DF75A7" w:rsidRPr="00817CF3">
        <w:rPr>
          <w:rFonts w:ascii="Arial" w:eastAsia="Times New Roman" w:hAnsi="Arial" w:cs="Times New Roman"/>
          <w:sz w:val="24"/>
          <w:szCs w:val="20"/>
          <w:lang w:bidi="en-US"/>
        </w:rPr>
        <w:t>.,</w:t>
      </w:r>
      <w:r w:rsidR="004719FF" w:rsidRPr="00817CF3">
        <w:rPr>
          <w:rFonts w:ascii="Arial" w:eastAsia="Times New Roman" w:hAnsi="Arial" w:cs="Times New Roman"/>
          <w:sz w:val="24"/>
          <w:szCs w:val="20"/>
          <w:lang w:bidi="en-US"/>
        </w:rPr>
        <w:t xml:space="preserve"> 1974).</w:t>
      </w:r>
    </w:p>
    <w:p w14:paraId="77FCF9DF" w14:textId="7BF8E188" w:rsidR="00192A9E" w:rsidRPr="00817CF3" w:rsidRDefault="00192A9E" w:rsidP="00D5319E">
      <w:pPr>
        <w:pStyle w:val="NORMAL0"/>
        <w:spacing w:line="480" w:lineRule="auto"/>
      </w:pPr>
      <w:r w:rsidRPr="00817CF3">
        <w:t xml:space="preserve">A Formação Serra Geral se faz representar por um </w:t>
      </w:r>
      <w:r w:rsidRPr="00817CF3">
        <w:rPr>
          <w:i/>
        </w:rPr>
        <w:t>sill</w:t>
      </w:r>
      <w:r w:rsidRPr="00817CF3">
        <w:t xml:space="preserve"> básico de extensão regional. O relevo do tipo mesa é resultado de processos de intemperismo e erosão que atuaram sobre estas rochas de resistência diferencial. São encontrados nos Morros Cechinel e Casagrande</w:t>
      </w:r>
      <w:r w:rsidR="004719FF" w:rsidRPr="00817CF3">
        <w:t xml:space="preserve"> (</w:t>
      </w:r>
      <w:r w:rsidR="00DF75A7" w:rsidRPr="00817CF3">
        <w:t>SILVA; LEITES</w:t>
      </w:r>
      <w:r w:rsidR="004719FF" w:rsidRPr="00817CF3">
        <w:t>, 2000)</w:t>
      </w:r>
      <w:r w:rsidRPr="00817CF3">
        <w:t>.</w:t>
      </w:r>
    </w:p>
    <w:p w14:paraId="3F0ACC82" w14:textId="21A24A5F" w:rsidR="00060EF9" w:rsidRPr="00817CF3" w:rsidRDefault="00097055" w:rsidP="00D5319E">
      <w:pPr>
        <w:pStyle w:val="NORMAL0"/>
        <w:spacing w:line="480" w:lineRule="auto"/>
      </w:pPr>
      <w:r w:rsidRPr="00817CF3">
        <w:t>O terceiro domínio geomorfológico presente é o dos Depósitos Sedimentares, com a unida</w:t>
      </w:r>
      <w:r w:rsidR="00B254CF" w:rsidRPr="00817CF3">
        <w:t>des</w:t>
      </w:r>
      <w:r w:rsidRPr="00817CF3">
        <w:t xml:space="preserve"> de Planícies Costeiras (litorâneas e colúvio aluvionares), ocupando a porção sul da área, ancorada sobre rochas do embasamento cristalino e da bacia do Paraná. Ali ocorrem importantes formações lacustres, associadas às numerosas lagunas da região (SILVA</w:t>
      </w:r>
      <w:r w:rsidR="009A0B3E" w:rsidRPr="00817CF3">
        <w:t>;</w:t>
      </w:r>
      <w:r w:rsidRPr="00817CF3">
        <w:t xml:space="preserve"> LEITES, 2000).</w:t>
      </w:r>
      <w:r w:rsidR="00060EF9" w:rsidRPr="00817CF3">
        <w:t xml:space="preserve"> Os Depósitos Aluvionares possuem areias e lamas, eventualmente em cascalheiras, que preenchem as calhas dos rios e suas planícies de inundação. São expressivos e predominantemente argilosos ou areno-</w:t>
      </w:r>
      <w:r w:rsidR="00DD6689" w:rsidRPr="00817CF3">
        <w:t>siltico</w:t>
      </w:r>
      <w:r w:rsidR="00060EF9" w:rsidRPr="00817CF3">
        <w:t>-argilosos.</w:t>
      </w:r>
    </w:p>
    <w:p w14:paraId="6E9969CF" w14:textId="78AF5C08" w:rsidR="00696B74" w:rsidRPr="00817CF3" w:rsidRDefault="003E3A13" w:rsidP="00D5319E">
      <w:pPr>
        <w:pStyle w:val="NORMAL0"/>
        <w:spacing w:line="480" w:lineRule="auto"/>
      </w:pPr>
      <w:r w:rsidRPr="00817CF3">
        <w:t xml:space="preserve">Na porção </w:t>
      </w:r>
      <w:r w:rsidR="00DE2E75" w:rsidRPr="00817CF3">
        <w:t>norte do município</w:t>
      </w:r>
      <w:r w:rsidR="00696B74" w:rsidRPr="00817CF3">
        <w:t>, predominam afloramentos das litologias aren</w:t>
      </w:r>
      <w:r w:rsidR="00DD6689">
        <w:t>íticas</w:t>
      </w:r>
      <w:r w:rsidR="00696B74" w:rsidRPr="00817CF3">
        <w:t xml:space="preserve"> correspondentes a formação Rio Bonito, sendo esta a portadora dos intervalos carbonosos existentes na bacia do Paraná</w:t>
      </w:r>
      <w:r w:rsidR="00DD6689">
        <w:t>. Nesta porção do município</w:t>
      </w:r>
      <w:r w:rsidR="00696B74" w:rsidRPr="00817CF3">
        <w:t xml:space="preserve"> são comuns </w:t>
      </w:r>
      <w:r w:rsidR="00DD6689">
        <w:t>a presença de</w:t>
      </w:r>
      <w:r w:rsidRPr="00817CF3">
        <w:t xml:space="preserve"> bocas</w:t>
      </w:r>
      <w:r w:rsidR="00696B74" w:rsidRPr="00817CF3">
        <w:t xml:space="preserve"> de mina </w:t>
      </w:r>
      <w:r w:rsidR="00DD6689">
        <w:t xml:space="preserve">nas </w:t>
      </w:r>
      <w:r w:rsidR="00696B74" w:rsidRPr="00817CF3">
        <w:t>encosta</w:t>
      </w:r>
      <w:r w:rsidRPr="00817CF3">
        <w:t>s</w:t>
      </w:r>
      <w:r w:rsidR="00696B74" w:rsidRPr="00817CF3">
        <w:t xml:space="preserve"> das escarpas</w:t>
      </w:r>
      <w:r w:rsidR="00DD6689">
        <w:t xml:space="preserve"> onde afloram </w:t>
      </w:r>
      <w:r w:rsidR="00DD6689">
        <w:lastRenderedPageBreak/>
        <w:t>as camadas de carvão</w:t>
      </w:r>
      <w:r w:rsidR="00696B74" w:rsidRPr="00817CF3">
        <w:t>.</w:t>
      </w:r>
      <w:r w:rsidR="00DE2E75" w:rsidRPr="00817CF3">
        <w:t xml:space="preserve"> Na porção sul</w:t>
      </w:r>
      <w:r w:rsidR="00696B74" w:rsidRPr="00817CF3">
        <w:t>, predominam as litologias pelíticas da Formação Palermo, estratigraficamente s</w:t>
      </w:r>
      <w:r w:rsidRPr="00817CF3">
        <w:t>otoposta da Formação Rio Bonito, nestas,</w:t>
      </w:r>
      <w:r w:rsidR="00696B74" w:rsidRPr="00817CF3">
        <w:t xml:space="preserve"> </w:t>
      </w:r>
      <w:r w:rsidRPr="00817CF3">
        <w:t xml:space="preserve">a </w:t>
      </w:r>
      <w:r w:rsidR="00696B74" w:rsidRPr="00817CF3">
        <w:t xml:space="preserve">mineração de carvão </w:t>
      </w:r>
      <w:r w:rsidRPr="00817CF3">
        <w:t>ocorreu/ocorre</w:t>
      </w:r>
      <w:r w:rsidR="00696B74" w:rsidRPr="00817CF3">
        <w:t xml:space="preserve"> de forma subterrânea, portanto, </w:t>
      </w:r>
      <w:r w:rsidRPr="00817CF3">
        <w:t>seus</w:t>
      </w:r>
      <w:r w:rsidR="00696B74" w:rsidRPr="00817CF3">
        <w:t xml:space="preserve"> </w:t>
      </w:r>
      <w:r w:rsidRPr="00817CF3">
        <w:t>locais</w:t>
      </w:r>
      <w:r w:rsidR="00696B74" w:rsidRPr="00817CF3">
        <w:t xml:space="preserve"> impactadas em superfície </w:t>
      </w:r>
      <w:r w:rsidRPr="00817CF3">
        <w:t xml:space="preserve">são </w:t>
      </w:r>
      <w:r w:rsidR="00696B74" w:rsidRPr="00817CF3">
        <w:t>decorrentes das operações de lavra</w:t>
      </w:r>
      <w:r w:rsidR="00DE2E75" w:rsidRPr="00817CF3">
        <w:t xml:space="preserve"> (</w:t>
      </w:r>
      <w:r w:rsidR="00A24052" w:rsidRPr="00817CF3">
        <w:t>DIAS, 1995</w:t>
      </w:r>
      <w:r w:rsidR="00DE2E75" w:rsidRPr="00817CF3">
        <w:t>)</w:t>
      </w:r>
      <w:r w:rsidR="00696B74" w:rsidRPr="00817CF3">
        <w:t>.</w:t>
      </w:r>
    </w:p>
    <w:p w14:paraId="494925CE" w14:textId="3968C8DC" w:rsidR="0068067B" w:rsidRPr="00817CF3" w:rsidRDefault="00A37216" w:rsidP="0068067B">
      <w:pPr>
        <w:pStyle w:val="NORMAL0"/>
        <w:spacing w:line="480" w:lineRule="auto"/>
      </w:pPr>
      <w:r w:rsidRPr="00817CF3">
        <w:t>Em se tratando da hidrogeologia</w:t>
      </w:r>
      <w:r w:rsidR="00060EF9" w:rsidRPr="00817CF3">
        <w:t xml:space="preserve">, podem se destacar quatro diferentes domínios relacionados </w:t>
      </w:r>
      <w:r w:rsidR="003B2A2C" w:rsidRPr="00817CF3">
        <w:t>às</w:t>
      </w:r>
      <w:r w:rsidR="00060EF9" w:rsidRPr="00817CF3">
        <w:t xml:space="preserve"> litologias aflorantes</w:t>
      </w:r>
      <w:r w:rsidRPr="00817CF3">
        <w:t xml:space="preserve"> na área de estudo</w:t>
      </w:r>
      <w:r w:rsidR="00060EF9" w:rsidRPr="00817CF3">
        <w:t>. Com uma tipologia de aquífero poroso</w:t>
      </w:r>
      <w:r w:rsidR="00BC1524" w:rsidRPr="00817CF3">
        <w:t xml:space="preserve"> intergranular</w:t>
      </w:r>
      <w:r w:rsidR="00060EF9" w:rsidRPr="00817CF3">
        <w:t xml:space="preserve">, temos o domínio composto pelas </w:t>
      </w:r>
      <w:r w:rsidR="0068067B" w:rsidRPr="00817CF3">
        <w:t>litologias</w:t>
      </w:r>
      <w:r w:rsidR="00060EF9" w:rsidRPr="00817CF3">
        <w:t xml:space="preserve"> aren</w:t>
      </w:r>
      <w:r w:rsidR="0068067B" w:rsidRPr="00817CF3">
        <w:t>íticas</w:t>
      </w:r>
      <w:r w:rsidR="00D460F8" w:rsidRPr="00817CF3">
        <w:t xml:space="preserve"> da F</w:t>
      </w:r>
      <w:r w:rsidR="00060EF9" w:rsidRPr="00817CF3">
        <w:t xml:space="preserve">ormação Rio Bonito </w:t>
      </w:r>
      <w:r w:rsidR="0068067B" w:rsidRPr="00817CF3">
        <w:t>e os sedimentos</w:t>
      </w:r>
      <w:r w:rsidR="00DF5892" w:rsidRPr="00817CF3">
        <w:t xml:space="preserve"> inconsolidados Cenozoicos</w:t>
      </w:r>
      <w:r w:rsidR="0068067B" w:rsidRPr="00817CF3">
        <w:t xml:space="preserve"> arenosos </w:t>
      </w:r>
      <w:r w:rsidR="00BC1524" w:rsidRPr="00817CF3">
        <w:t>à</w:t>
      </w:r>
      <w:r w:rsidR="00D460F8" w:rsidRPr="00817CF3">
        <w:t xml:space="preserve"> cascalhosos </w:t>
      </w:r>
      <w:r w:rsidR="0068067B" w:rsidRPr="00817CF3">
        <w:t xml:space="preserve">relacionados a depósitos costeiros e aluviais </w:t>
      </w:r>
      <w:r w:rsidR="00C26E40" w:rsidRPr="00817CF3">
        <w:t>recentes</w:t>
      </w:r>
      <w:r w:rsidR="0068067B" w:rsidRPr="00817CF3">
        <w:t>. Além destes, ocorrem na área aquíferos fraturados relacionados aos basaltos e diabásios da formação Serra Geral e os aquíferos</w:t>
      </w:r>
      <w:r w:rsidR="00F6602C" w:rsidRPr="00817CF3">
        <w:t>/aquitardos</w:t>
      </w:r>
      <w:r w:rsidR="0068067B" w:rsidRPr="00817CF3">
        <w:t xml:space="preserve"> </w:t>
      </w:r>
      <w:r w:rsidR="00D460F8" w:rsidRPr="00817CF3">
        <w:t xml:space="preserve">porosos/fraturados </w:t>
      </w:r>
      <w:r w:rsidR="0068067B" w:rsidRPr="00817CF3">
        <w:t>relacionados as rochas pelíticas da Formação Palermo.</w:t>
      </w:r>
    </w:p>
    <w:p w14:paraId="203483E7" w14:textId="227F4510" w:rsidR="00B737E2" w:rsidRPr="00817CF3" w:rsidRDefault="00C26E40" w:rsidP="00B737E2">
      <w:pPr>
        <w:pStyle w:val="corpodetexto"/>
      </w:pPr>
      <w:r w:rsidRPr="00817CF3">
        <w:t>A u</w:t>
      </w:r>
      <w:r w:rsidR="00D56BD1" w:rsidRPr="00817CF3">
        <w:t xml:space="preserve">nidade Hidroestratigráfica Rio Bonito </w:t>
      </w:r>
      <w:r w:rsidR="00DA4F81" w:rsidRPr="00817CF3">
        <w:t>compõe um</w:t>
      </w:r>
      <w:r w:rsidR="00D56BD1" w:rsidRPr="00817CF3">
        <w:t xml:space="preserve"> aquífe</w:t>
      </w:r>
      <w:r w:rsidR="00B737E2" w:rsidRPr="00817CF3">
        <w:t>ro com porosidade intergranular composto por arenitos finos, cinza-amarronzados, mal selecionados e localmente conglomerados cinza-claros. Secundariamente ocorrem folhelhos, argilito e siltito cinza-escuro a pretos. A estruturação é por estratificações paralelas, cruzadas tabulares e acanaladas. A espessura pode ultrapassar os 300 m, compondo aquíferos do tipo semiconfinado a confinado de extensão regional, com porosidade intergranular ampliada por fraturamento, descontínuo, heterogêneo e anisotrópico (MACHADO, 2013).</w:t>
      </w:r>
    </w:p>
    <w:p w14:paraId="720349E5" w14:textId="0F3C4BF9" w:rsidR="002D72CD" w:rsidRPr="00817CF3" w:rsidRDefault="00DF5892" w:rsidP="002D72CD">
      <w:pPr>
        <w:pStyle w:val="corpodetexto"/>
      </w:pPr>
      <w:r w:rsidRPr="00817CF3">
        <w:t xml:space="preserve">Já a unidade Hidroestratigráfica Cenozoica </w:t>
      </w:r>
      <w:r w:rsidR="002D72CD" w:rsidRPr="00817CF3">
        <w:t>é composta por sedimentos marinhos e costeiros são representados por sucessões de camadas arenosas, pouco ou não-consolidadas. Apresenta-se como aquífero livre de extensão regional, com porosidade intergranular, contínuo, homogêneo e isotrópico. Os terrenos ocupados por esta zona aquífera estão relacionados com a sedimentação marinha e em alguns casos, remobilização eólica em barreiras, caracterizando-se por constituírem-se em planícies com altitude média de 10m.</w:t>
      </w:r>
      <w:r w:rsidR="00112B91" w:rsidRPr="00817CF3">
        <w:t xml:space="preserve"> Ainda dentro dest</w:t>
      </w:r>
      <w:r w:rsidR="00FB7017" w:rsidRPr="00817CF3">
        <w:t>a</w:t>
      </w:r>
      <w:r w:rsidR="00112B91" w:rsidRPr="00817CF3">
        <w:t xml:space="preserve">, ocorrem aquíferos livres de menor permeabilidade, </w:t>
      </w:r>
      <w:r w:rsidR="00FB7017" w:rsidRPr="00817CF3">
        <w:t>com</w:t>
      </w:r>
      <w:r w:rsidR="00112B91" w:rsidRPr="00817CF3">
        <w:t xml:space="preserve"> extensão regional, com </w:t>
      </w:r>
      <w:r w:rsidR="00112B91" w:rsidRPr="00817CF3">
        <w:lastRenderedPageBreak/>
        <w:t>porosidade intergranular, contínua, homogêneo e anisotrópico</w:t>
      </w:r>
      <w:r w:rsidR="00FB7017" w:rsidRPr="00817CF3">
        <w:t xml:space="preserve"> relacionados a depósitos aluviais e coluviais (MACHADO, 2013).</w:t>
      </w:r>
    </w:p>
    <w:p w14:paraId="25CB4DD5" w14:textId="2CB2598A" w:rsidR="00DA4F81" w:rsidRDefault="00C10DFD" w:rsidP="00817CF3">
      <w:pPr>
        <w:pStyle w:val="corpodetexto"/>
      </w:pPr>
      <w:r w:rsidRPr="00817CF3">
        <w:t xml:space="preserve">Dentro do domínio dos aquíferos fraturados, ocorrem os aquíferos relacionado às litologias vulcânicas intrusivas presentes. Sendo essas intrusivas vulcânicos basálticos típicas intertrapeadas em litologias da Bacia do Paraná. </w:t>
      </w:r>
      <w:r w:rsidR="00CF44C3" w:rsidRPr="00817CF3">
        <w:t>Este compartimento é caracterizado por aquíferos livres a semiconfinados de extensão local, com porosidade por fraturamento, descontínuo, heterogêneo e</w:t>
      </w:r>
      <w:r w:rsidRPr="00817CF3">
        <w:t xml:space="preserve"> anisotrópico (MACHADO, 2013).</w:t>
      </w:r>
      <w:r w:rsidR="00817CF3" w:rsidRPr="00817CF3">
        <w:t xml:space="preserve"> </w:t>
      </w:r>
      <w:r w:rsidR="00F6602C" w:rsidRPr="00817CF3">
        <w:t>Este domínio é composto segundo Machado (2013) pela sucessão de litologias pelíticas onde raramente ocorrem aquíferos localizados restritos a zonas fraturadas (MACHADO, 2013).</w:t>
      </w:r>
    </w:p>
    <w:p w14:paraId="326C0F67" w14:textId="01B97810" w:rsidR="00342CD8" w:rsidRPr="00E4717A" w:rsidRDefault="00342CD8" w:rsidP="00D5319E">
      <w:pPr>
        <w:pStyle w:val="NORMAL0"/>
        <w:spacing w:line="480" w:lineRule="auto"/>
      </w:pPr>
      <w:r w:rsidRPr="00E4717A">
        <w:t xml:space="preserve">As águas superficiais do município de Criciúma drenam para as bacias hidrográficas do Araranguá e </w:t>
      </w:r>
      <w:r w:rsidRPr="009609E5">
        <w:t>Urussanga</w:t>
      </w:r>
      <w:r w:rsidR="003E3A13">
        <w:t xml:space="preserve"> (Figura 3B)</w:t>
      </w:r>
      <w:r w:rsidRPr="009609E5">
        <w:t>, ambas pertencentes a 10ª Região Hidrográfica do Estado de Santa Catarina. (SANTA CATARINA, 1997).</w:t>
      </w:r>
    </w:p>
    <w:p w14:paraId="76979EE2" w14:textId="35E2790B" w:rsidR="009956B5" w:rsidRDefault="009956B5">
      <w:pPr>
        <w:rPr>
          <w:rFonts w:ascii="Arial" w:hAnsi="Arial" w:cs="Arial"/>
          <w:color w:val="000000"/>
          <w:sz w:val="23"/>
          <w:szCs w:val="23"/>
        </w:rPr>
      </w:pPr>
    </w:p>
    <w:p w14:paraId="31B73458" w14:textId="77777777" w:rsidR="009956B5" w:rsidRDefault="009956B5" w:rsidP="00E4717A">
      <w:pPr>
        <w:pStyle w:val="NORMAL0"/>
        <w:sectPr w:rsidR="009956B5" w:rsidSect="00F00011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6DCDBD22" w14:textId="74A15037" w:rsidR="00B8492C" w:rsidRDefault="00C55EC7" w:rsidP="009956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12B18E" wp14:editId="477C9721">
                <wp:simplePos x="0" y="0"/>
                <wp:positionH relativeFrom="column">
                  <wp:posOffset>7775826</wp:posOffset>
                </wp:positionH>
                <wp:positionV relativeFrom="paragraph">
                  <wp:posOffset>247829</wp:posOffset>
                </wp:positionV>
                <wp:extent cx="257175" cy="257175"/>
                <wp:effectExtent l="0" t="0" r="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789FB" w14:textId="77777777" w:rsidR="00657D6F" w:rsidRPr="00FF6505" w:rsidRDefault="00657D6F" w:rsidP="00FF650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2B18E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612.25pt;margin-top:19.5pt;width:20.25pt;height:20.2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" filled="f" stroked="f" strokeweight=".5pt">
                <v:textbox>
                  <w:txbxContent>
                    <w:p w14:paraId="4B8789FB" w14:textId="77777777" w:rsidR="00657D6F" w:rsidRPr="00FF6505" w:rsidRDefault="00657D6F" w:rsidP="00FF6505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8AEB416" wp14:editId="31E5C164">
                <wp:simplePos x="0" y="0"/>
                <wp:positionH relativeFrom="column">
                  <wp:posOffset>4008228</wp:posOffset>
                </wp:positionH>
                <wp:positionV relativeFrom="paragraph">
                  <wp:posOffset>244811</wp:posOffset>
                </wp:positionV>
                <wp:extent cx="257175" cy="257175"/>
                <wp:effectExtent l="0" t="0" r="0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A406F" w14:textId="77777777" w:rsidR="00657D6F" w:rsidRPr="00FF6505" w:rsidRDefault="00657D6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FF6505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EB416" id="Caixa de texto 6" o:spid="_x0000_s1027" type="#_x0000_t202" style="position:absolute;left:0;text-align:left;margin-left:315.6pt;margin-top:19.3pt;width:20.25pt;height:20.2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" filled="f" stroked="f" strokeweight=".5pt">
                <v:textbox>
                  <w:txbxContent>
                    <w:p w14:paraId="253A406F" w14:textId="77777777" w:rsidR="00657D6F" w:rsidRPr="00FF6505" w:rsidRDefault="00657D6F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FF6505">
                        <w:rPr>
                          <w:rFonts w:ascii="Arial" w:hAnsi="Arial" w:cs="Arial"/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55ABB" w:rsidRPr="00355ABB">
        <w:rPr>
          <w:noProof/>
          <w:lang w:eastAsia="pt-BR"/>
        </w:rPr>
        <w:drawing>
          <wp:inline distT="0" distB="0" distL="0" distR="0" wp14:anchorId="14A37B58" wp14:editId="27F76D49">
            <wp:extent cx="7668000" cy="5378616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000" cy="537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86925" w14:textId="2B64C70F" w:rsidR="009956B5" w:rsidRDefault="00B8492C" w:rsidP="00B8492C">
      <w:pPr>
        <w:pStyle w:val="Legenda"/>
        <w:rPr>
          <w:rFonts w:cs="Arial"/>
          <w:color w:val="000000"/>
          <w:sz w:val="23"/>
          <w:szCs w:val="23"/>
        </w:rPr>
      </w:pPr>
      <w:bookmarkStart w:id="5" w:name="_Ref516669932"/>
      <w:r w:rsidRPr="00B8492C">
        <w:rPr>
          <w:sz w:val="24"/>
        </w:rPr>
        <w:t xml:space="preserve">Figura </w:t>
      </w:r>
      <w:r w:rsidRPr="00B8492C">
        <w:rPr>
          <w:sz w:val="24"/>
        </w:rPr>
        <w:fldChar w:fldCharType="begin"/>
      </w:r>
      <w:r w:rsidRPr="00B8492C">
        <w:rPr>
          <w:sz w:val="24"/>
        </w:rPr>
        <w:instrText xml:space="preserve"> SEQ Figura \* ARABIC </w:instrText>
      </w:r>
      <w:r w:rsidRPr="00B8492C">
        <w:rPr>
          <w:sz w:val="24"/>
        </w:rPr>
        <w:fldChar w:fldCharType="separate"/>
      </w:r>
      <w:r w:rsidR="00D30A85">
        <w:rPr>
          <w:noProof/>
          <w:sz w:val="24"/>
        </w:rPr>
        <w:t>3</w:t>
      </w:r>
      <w:r w:rsidRPr="00B8492C">
        <w:rPr>
          <w:noProof/>
          <w:sz w:val="24"/>
        </w:rPr>
        <w:fldChar w:fldCharType="end"/>
      </w:r>
      <w:bookmarkEnd w:id="5"/>
      <w:r w:rsidRPr="00B8492C">
        <w:rPr>
          <w:sz w:val="24"/>
        </w:rPr>
        <w:t>: Mapas apresentando a caracterização do meio físico: A) Geologia</w:t>
      </w:r>
      <w:r w:rsidR="00DC18E2">
        <w:rPr>
          <w:sz w:val="24"/>
        </w:rPr>
        <w:t xml:space="preserve"> (</w:t>
      </w:r>
      <w:r w:rsidR="008F4512">
        <w:rPr>
          <w:sz w:val="24"/>
        </w:rPr>
        <w:t>SILVA e LEITES,</w:t>
      </w:r>
      <w:r w:rsidR="00DC18E2">
        <w:rPr>
          <w:sz w:val="24"/>
        </w:rPr>
        <w:t xml:space="preserve"> 20</w:t>
      </w:r>
      <w:r w:rsidR="008F4512">
        <w:rPr>
          <w:sz w:val="24"/>
        </w:rPr>
        <w:t>00</w:t>
      </w:r>
      <w:r w:rsidR="00DC18E2">
        <w:rPr>
          <w:sz w:val="24"/>
        </w:rPr>
        <w:t>)</w:t>
      </w:r>
      <w:r w:rsidRPr="00B8492C">
        <w:rPr>
          <w:sz w:val="24"/>
        </w:rPr>
        <w:t xml:space="preserve"> e B) Hidrografia</w:t>
      </w:r>
      <w:r w:rsidR="00DC18E2">
        <w:rPr>
          <w:sz w:val="24"/>
        </w:rPr>
        <w:t xml:space="preserve"> (SDS, 2010)</w:t>
      </w:r>
      <w:r w:rsidRPr="00B8492C">
        <w:rPr>
          <w:sz w:val="24"/>
        </w:rPr>
        <w:t>, bocas de mina e nascentes</w:t>
      </w:r>
      <w:r w:rsidR="00DC18E2">
        <w:rPr>
          <w:sz w:val="24"/>
        </w:rPr>
        <w:t xml:space="preserve"> (</w:t>
      </w:r>
      <w:r w:rsidR="00DA0DD0">
        <w:rPr>
          <w:sz w:val="24"/>
        </w:rPr>
        <w:t>IPAT/</w:t>
      </w:r>
      <w:r w:rsidR="00DC18E2">
        <w:rPr>
          <w:sz w:val="24"/>
        </w:rPr>
        <w:t>UNESC, 2010)</w:t>
      </w:r>
      <w:r w:rsidRPr="00B8492C">
        <w:rPr>
          <w:sz w:val="24"/>
        </w:rPr>
        <w:t>.</w:t>
      </w:r>
      <w:r w:rsidR="009956B5">
        <w:rPr>
          <w:rFonts w:cs="Arial"/>
          <w:color w:val="000000"/>
          <w:sz w:val="23"/>
          <w:szCs w:val="23"/>
        </w:rPr>
        <w:br w:type="page"/>
      </w:r>
    </w:p>
    <w:p w14:paraId="0E7699B8" w14:textId="77777777" w:rsidR="009956B5" w:rsidRDefault="009956B5" w:rsidP="00720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  <w:sectPr w:rsidR="009956B5" w:rsidSect="009956B5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7C27A94A" w14:textId="42FC0981" w:rsidR="00966094" w:rsidRPr="00C81BAB" w:rsidRDefault="00C55EC7" w:rsidP="00D5319E">
      <w:pPr>
        <w:pStyle w:val="NORMAL0"/>
        <w:spacing w:line="480" w:lineRule="auto"/>
      </w:pPr>
      <w:r w:rsidRPr="00C81BAB">
        <w:lastRenderedPageBreak/>
        <w:t xml:space="preserve">Em relação </w:t>
      </w:r>
      <w:r w:rsidR="00C81BAB" w:rsidRPr="00C81BAB">
        <w:t>a rede hidrográfica da área de estudo, os diversos cursos d’água que compõem a hidrografia do município são tributários de duas diferentes bacias hidrográficas, sendo que a Bacia do Rio Araranguá, compreende cerca de 75% do território do município enquanto e a bacia do Rio Urussanga, cerca de 25% (IPAT/UNESC, 2010).</w:t>
      </w:r>
    </w:p>
    <w:p w14:paraId="39A5A68F" w14:textId="77777777" w:rsidR="00637011" w:rsidRDefault="00637011" w:rsidP="008A0D85">
      <w:pPr>
        <w:pStyle w:val="NORMAL0"/>
      </w:pPr>
    </w:p>
    <w:p w14:paraId="22F37CEA" w14:textId="71390296" w:rsidR="00786325" w:rsidRDefault="008A0D85" w:rsidP="008A0D85">
      <w:pPr>
        <w:pStyle w:val="Ttulo2"/>
      </w:pPr>
      <w:r>
        <w:t>2.</w:t>
      </w:r>
      <w:r w:rsidR="00A70343">
        <w:t>2</w:t>
      </w:r>
      <w:r>
        <w:t xml:space="preserve"> </w:t>
      </w:r>
      <w:r w:rsidR="00786325">
        <w:t>Pontos Analisados</w:t>
      </w:r>
    </w:p>
    <w:p w14:paraId="720BE2FD" w14:textId="77777777" w:rsidR="00D27327" w:rsidRDefault="00D27327" w:rsidP="008A0D85">
      <w:pPr>
        <w:pStyle w:val="NORMAL0"/>
      </w:pPr>
    </w:p>
    <w:p w14:paraId="787AF54C" w14:textId="759F48DD" w:rsidR="00121E91" w:rsidRDefault="006516F8" w:rsidP="00D5319E">
      <w:pPr>
        <w:pStyle w:val="NORMAL0"/>
        <w:spacing w:line="480" w:lineRule="auto"/>
        <w:rPr>
          <w:rFonts w:cs="Arial"/>
          <w:szCs w:val="24"/>
        </w:rPr>
      </w:pPr>
      <w:r w:rsidRPr="009609E5">
        <w:rPr>
          <w:rFonts w:ascii="Helvetica" w:hAnsi="Helvetica" w:cs="Helvetica"/>
          <w:szCs w:val="24"/>
        </w:rPr>
        <w:t xml:space="preserve">O conjunto de resultados analíticos utilizado </w:t>
      </w:r>
      <w:r w:rsidR="003431D8">
        <w:rPr>
          <w:rFonts w:ascii="Helvetica" w:hAnsi="Helvetica" w:cs="Helvetica"/>
          <w:szCs w:val="24"/>
        </w:rPr>
        <w:t>foi</w:t>
      </w:r>
      <w:r w:rsidRPr="009609E5">
        <w:rPr>
          <w:rFonts w:ascii="Helvetica" w:hAnsi="Helvetica" w:cs="Helvetica"/>
          <w:szCs w:val="24"/>
        </w:rPr>
        <w:t xml:space="preserve"> composto por </w:t>
      </w:r>
      <w:r w:rsidR="00637011" w:rsidRPr="009609E5">
        <w:rPr>
          <w:rFonts w:ascii="Helvetica" w:hAnsi="Helvetica" w:cs="Helvetica"/>
          <w:szCs w:val="24"/>
        </w:rPr>
        <w:t xml:space="preserve">análises </w:t>
      </w:r>
      <w:r w:rsidRPr="009609E5">
        <w:rPr>
          <w:rFonts w:ascii="Helvetica" w:hAnsi="Helvetica" w:cs="Helvetica"/>
          <w:szCs w:val="24"/>
        </w:rPr>
        <w:t>físico-químicas de 100 nascentes do município de Crici</w:t>
      </w:r>
      <w:r w:rsidR="008A0D85" w:rsidRPr="009609E5">
        <w:rPr>
          <w:rFonts w:ascii="Helvetica" w:hAnsi="Helvetica" w:cs="Helvetica"/>
          <w:szCs w:val="24"/>
        </w:rPr>
        <w:t>úma/SC</w:t>
      </w:r>
      <w:r w:rsidR="004719FF" w:rsidRPr="009609E5">
        <w:rPr>
          <w:rFonts w:ascii="Helvetica" w:hAnsi="Helvetica" w:cs="Helvetica"/>
          <w:szCs w:val="24"/>
        </w:rPr>
        <w:t xml:space="preserve"> </w:t>
      </w:r>
      <w:r w:rsidR="00A70343">
        <w:rPr>
          <w:rFonts w:ascii="Helvetica" w:hAnsi="Helvetica" w:cs="Helvetica"/>
          <w:szCs w:val="24"/>
        </w:rPr>
        <w:fldChar w:fldCharType="begin" w:fldLock="1"/>
      </w:r>
      <w:r w:rsidR="00A70343">
        <w:rPr>
          <w:rFonts w:ascii="Helvetica" w:hAnsi="Helvetica" w:cs="Helvetica"/>
          <w:szCs w:val="24"/>
        </w:rPr>
        <w:instrText>ADDIN CSL_CITATION {"citationItems":[{"id":"ITEM-1","itemData":{"abstract":"A área de estudo compreende o município de Criciúma, inserido nas bacias hidrográficas dos rios Araranguá (BHRA) e Urussanga (BHRU), extremo sul de Santa Catarina. A rede hidrográfica do território municipal é compreendida pelas microbacias dos rios Eldorado, Quarta Linha, Baixo Sangão, Cedro, Criciúma, Medeiros, Maina, Sangão, Linha Anta e Ronco D'água. Com um propósito de caracterizar as nascentes, foi realizado um cadastramento através de incursões em campo verificando o grau de degradação ambiental, reunindo informações básicas como relevo, hidrologia, solo, cobertura vegetal, fontes de poluição, uso da água e formas de captação. Neste estudo foram analisados 12 parâmetros, avaliando-se as propriedades físico-químicas e microbiológicas da água destinada ao consumo humano em 100 fontes de água. A caracterização foi elaborada com base no IQA -Índice de Qualidade das Águas e comparado aos resultados das análises com a Portaria n° 518/2004 e a Resolução Conama n° 357/2005. Os resultados indicaram variação de boa à ótima qualidade. Por outro lado, algumas amostras apresentaram concentrações de Fe, Mn, sulfatos, fosfato e coliformes fecais e totais acima dos limites estabelecidos pela legislação. Este trabalho reuniu informações para subsidiar a proteção das nascentes e propiciar um melhor planejamento do manejo das águas superficiais no município de Criciúma, integrando de forma sistematizada as bacias hidrográficas dos rios Araranguá e Urussanga. Palavras-chave: índice de qualidade da água, bacia hidrográfica, área de preservação permanente REVISTA DE CIÊNCIAS AMBIENTAIS, Canoas, v.5, n.1, p. 39 a 56, 2011 / ISSN 1981-8858","author":[{"dropping-particle":"","family":"Galatto","given":"Sérgio Luciano","non-dropping-particle":"","parse-names":false,"suffix":""},{"dropping-particle":"","family":"Zim Alexandre","given":"Nadja","non-dropping-particle":"","parse-names":false,"suffix":""},{"dropping-particle":"","family":"Pereira","given":"Jader Lima","non-dropping-particle":"","parse-names":false,"suffix":""},{"dropping-particle":"","family":"Borsato Patrício","given":"Tamiles","non-dropping-particle":"","parse-names":false,"suffix":""},{"dropping-particle":"","family":"Vassiliou","given":"Miguel","non-dropping-particle":"","parse-names":false,"suffix":""},{"dropping-particle":"","family":"Fernandes","given":"Alice Neves","non-dropping-particle":"","parse-names":false,"suffix":""},{"dropping-particle":"","family":"Frassetto","given":"Jonathan","non-dropping-particle":"","parse-names":false,"suffix":""},{"dropping-particle":"","family":"Valvassori","given":"Morgana Levati","non-dropping-particle":"","parse-names":false,"suffix":""}],"container-title":"Revista de Ciências Ambientais","id":"ITEM-1","issue":"1","issued":{"date-parts":[["2011"]]},"page":"39-56","title":"Diagnóstico ambiental de nascentes no município de Criciúma, Santa Catarina","type":"article-journal","volume":"5"},"uris":["http://www.mendeley.com/documents/?uuid=abefded4-ae75-39ee-9a2f-b435d8bcbdea"]}],"mendeley":{"formattedCitation":"(GALATTO et al., 2011)","plainTextFormattedCitation":"(GALATTO et al., 2011)"},"properties":{"noteIndex":0},"schema":"https://github.com/citation-style-language/schema/raw/master/csl-citation.json"}</w:instrText>
      </w:r>
      <w:r w:rsidR="00A70343">
        <w:rPr>
          <w:rFonts w:ascii="Helvetica" w:hAnsi="Helvetica" w:cs="Helvetica"/>
          <w:szCs w:val="24"/>
        </w:rPr>
        <w:fldChar w:fldCharType="separate"/>
      </w:r>
      <w:r w:rsidR="00A70343" w:rsidRPr="00A70343">
        <w:rPr>
          <w:rFonts w:ascii="Helvetica" w:hAnsi="Helvetica" w:cs="Helvetica"/>
          <w:noProof/>
          <w:szCs w:val="24"/>
        </w:rPr>
        <w:t>(GALATTO et al., 2011)</w:t>
      </w:r>
      <w:r w:rsidR="00A70343">
        <w:rPr>
          <w:rFonts w:ascii="Helvetica" w:hAnsi="Helvetica" w:cs="Helvetica"/>
          <w:szCs w:val="24"/>
        </w:rPr>
        <w:fldChar w:fldCharType="end"/>
      </w:r>
      <w:r w:rsidR="00863677" w:rsidRPr="00D5319E">
        <w:t>.</w:t>
      </w:r>
      <w:r w:rsidR="00637011">
        <w:t xml:space="preserve"> </w:t>
      </w:r>
      <w:r w:rsidR="008A0D85">
        <w:rPr>
          <w:rFonts w:cs="Arial"/>
          <w:szCs w:val="24"/>
        </w:rPr>
        <w:t>Do conjunto global de pontos foram selecionados 83</w:t>
      </w:r>
      <w:r w:rsidR="00B254CF">
        <w:rPr>
          <w:rFonts w:cs="Arial"/>
          <w:szCs w:val="24"/>
        </w:rPr>
        <w:t>,</w:t>
      </w:r>
      <w:r w:rsidR="008A0D85">
        <w:rPr>
          <w:rFonts w:cs="Arial"/>
          <w:szCs w:val="24"/>
        </w:rPr>
        <w:t xml:space="preserve"> considerados livres de interferência por atividades relacionadas </w:t>
      </w:r>
      <w:r w:rsidR="000762BC">
        <w:rPr>
          <w:rFonts w:cs="Arial"/>
          <w:szCs w:val="24"/>
        </w:rPr>
        <w:t>à</w:t>
      </w:r>
      <w:r w:rsidR="00637011">
        <w:rPr>
          <w:rFonts w:cs="Arial"/>
          <w:szCs w:val="24"/>
        </w:rPr>
        <w:t xml:space="preserve"> mineração de</w:t>
      </w:r>
      <w:r w:rsidR="008A0D85">
        <w:rPr>
          <w:rFonts w:cs="Arial"/>
          <w:szCs w:val="24"/>
        </w:rPr>
        <w:t xml:space="preserve"> carvão e desta forma confiáveis do ponto geoquímico</w:t>
      </w:r>
      <w:r w:rsidR="00720636">
        <w:rPr>
          <w:rFonts w:cs="Arial"/>
          <w:szCs w:val="24"/>
        </w:rPr>
        <w:t xml:space="preserve"> </w:t>
      </w:r>
      <w:r w:rsidR="00720636" w:rsidRPr="00B254CF">
        <w:rPr>
          <w:rFonts w:cs="Arial"/>
          <w:szCs w:val="24"/>
        </w:rPr>
        <w:t>para avaliaç</w:t>
      </w:r>
      <w:r w:rsidR="00720636" w:rsidRPr="00D5319E">
        <w:rPr>
          <w:rFonts w:cs="Arial"/>
          <w:szCs w:val="24"/>
        </w:rPr>
        <w:t xml:space="preserve">ão do </w:t>
      </w:r>
      <w:r w:rsidR="006B1D27" w:rsidRPr="006B1D27">
        <w:rPr>
          <w:rFonts w:cs="Arial"/>
          <w:i/>
          <w:szCs w:val="24"/>
        </w:rPr>
        <w:t>background</w:t>
      </w:r>
      <w:r w:rsidR="008A0D85">
        <w:rPr>
          <w:rFonts w:cs="Arial"/>
          <w:szCs w:val="24"/>
        </w:rPr>
        <w:t>.</w:t>
      </w:r>
    </w:p>
    <w:p w14:paraId="20216FFA" w14:textId="1CB0E2FD" w:rsidR="00637011" w:rsidRDefault="00F44349" w:rsidP="00D5319E">
      <w:pPr>
        <w:pStyle w:val="NORMAL0"/>
        <w:spacing w:line="480" w:lineRule="auto"/>
        <w:rPr>
          <w:rFonts w:cs="Arial"/>
          <w:szCs w:val="24"/>
        </w:rPr>
      </w:pPr>
      <w:r>
        <w:rPr>
          <w:rFonts w:cs="Arial"/>
          <w:szCs w:val="24"/>
        </w:rPr>
        <w:t>A seleção das nascentes foi realizada</w:t>
      </w:r>
      <w:r w:rsidR="009E1DDB">
        <w:rPr>
          <w:rFonts w:cs="Arial"/>
          <w:szCs w:val="24"/>
        </w:rPr>
        <w:t>, em ambiente SIG,</w:t>
      </w:r>
      <w:r>
        <w:rPr>
          <w:rFonts w:cs="Arial"/>
          <w:szCs w:val="24"/>
        </w:rPr>
        <w:t xml:space="preserve"> a partir da sobreposiç</w:t>
      </w:r>
      <w:r w:rsidR="009E1DDB">
        <w:rPr>
          <w:rFonts w:cs="Arial"/>
          <w:szCs w:val="24"/>
        </w:rPr>
        <w:t>ão dos mapas das áreas impactadas pela mineração de carvão no município. Foram consideradas as áreas degradadas em superfície e as embocaduras de antigas minas de encosta nas porções onde a camada de carvão era aflorante. A partir desta avaliação prévia foram identificadas 17 nascentes sob influência de DAM</w:t>
      </w:r>
      <w:r w:rsidR="00E61F04">
        <w:rPr>
          <w:rFonts w:cs="Arial"/>
          <w:szCs w:val="24"/>
        </w:rPr>
        <w:t>, as quais foram excluídas da análise estatística.</w:t>
      </w:r>
    </w:p>
    <w:p w14:paraId="2DA5E5E6" w14:textId="77777777" w:rsidR="0073479F" w:rsidRDefault="0073479F" w:rsidP="008A0D85">
      <w:pPr>
        <w:pStyle w:val="NORMAL0"/>
        <w:rPr>
          <w:rFonts w:cs="Arial"/>
          <w:szCs w:val="24"/>
        </w:rPr>
      </w:pPr>
    </w:p>
    <w:p w14:paraId="507161E0" w14:textId="77777777" w:rsidR="00786325" w:rsidRDefault="00786325" w:rsidP="008A0D85">
      <w:pPr>
        <w:pStyle w:val="Ttulo2"/>
      </w:pPr>
      <w:r>
        <w:t>2.4 Métodos Estatísticos</w:t>
      </w:r>
    </w:p>
    <w:p w14:paraId="28C4A67E" w14:textId="77777777" w:rsidR="00121E91" w:rsidRDefault="00121E91" w:rsidP="008A0D85">
      <w:pPr>
        <w:pStyle w:val="NORMAL0"/>
        <w:rPr>
          <w:rFonts w:cs="Arial"/>
          <w:szCs w:val="24"/>
        </w:rPr>
      </w:pPr>
    </w:p>
    <w:p w14:paraId="3422B793" w14:textId="054BC1FC" w:rsidR="009E1DDB" w:rsidRPr="009609E5" w:rsidRDefault="0085611D" w:rsidP="00D5319E">
      <w:pPr>
        <w:pStyle w:val="NORMAL0"/>
        <w:spacing w:line="480" w:lineRule="auto"/>
      </w:pPr>
      <w:r>
        <w:t xml:space="preserve">Os valores de </w:t>
      </w:r>
      <w:r w:rsidR="006B1D27" w:rsidRPr="006B1D27">
        <w:rPr>
          <w:i/>
        </w:rPr>
        <w:t>background</w:t>
      </w:r>
      <w:r w:rsidRPr="009609E5">
        <w:t xml:space="preserve"> </w:t>
      </w:r>
      <w:r w:rsidR="00E61F04" w:rsidRPr="009609E5">
        <w:t>d</w:t>
      </w:r>
      <w:r w:rsidRPr="009609E5">
        <w:t xml:space="preserve">as </w:t>
      </w:r>
      <w:r w:rsidR="006516F8" w:rsidRPr="009609E5">
        <w:t>nascentes</w:t>
      </w:r>
      <w:r w:rsidRPr="009609E5">
        <w:t xml:space="preserve"> da região de Criciúma foram estimados com o método EDA (</w:t>
      </w:r>
      <w:r w:rsidRPr="009609E5">
        <w:rPr>
          <w:i/>
        </w:rPr>
        <w:t>Exploratory Data Analysis</w:t>
      </w:r>
      <w:r w:rsidRPr="009609E5">
        <w:t>), utilizado na determinação de parâmetros em prospecção geoquímica (TUKEY, 1977; CHIPRÉS, et al., 2009).</w:t>
      </w:r>
      <w:r w:rsidR="009E1DDB" w:rsidRPr="009609E5">
        <w:t xml:space="preserve"> </w:t>
      </w:r>
    </w:p>
    <w:p w14:paraId="0E1269B1" w14:textId="0A5E9BF2" w:rsidR="00D27327" w:rsidRDefault="0085611D" w:rsidP="00A24052">
      <w:pPr>
        <w:pStyle w:val="NORMAL0"/>
        <w:spacing w:line="480" w:lineRule="auto"/>
        <w:rPr>
          <w:rFonts w:cs="Arial"/>
          <w:szCs w:val="24"/>
        </w:rPr>
      </w:pPr>
      <w:r w:rsidRPr="009609E5">
        <w:lastRenderedPageBreak/>
        <w:t>O Método EDA foi introduzido para analisar dados que não seguem um modelo normal e consiste de um conjunto de estatísticas descritivas e</w:t>
      </w:r>
      <w:r w:rsidR="009E1DDB" w:rsidRPr="009609E5">
        <w:t xml:space="preserve">, </w:t>
      </w:r>
      <w:r w:rsidRPr="009609E5">
        <w:t>principalmente</w:t>
      </w:r>
      <w:r w:rsidR="009E1DDB" w:rsidRPr="009609E5">
        <w:t>,</w:t>
      </w:r>
      <w:r w:rsidRPr="009609E5">
        <w:t xml:space="preserve"> ferramentas gráficas que visam ganhar o máximo de informações sobre os dados e também determinar </w:t>
      </w:r>
      <w:r w:rsidRPr="00F97F8C">
        <w:rPr>
          <w:i/>
        </w:rPr>
        <w:t>outliers</w:t>
      </w:r>
      <w:r w:rsidRPr="009609E5">
        <w:t xml:space="preserve"> e anomalias. Pelo método da </w:t>
      </w:r>
      <w:r w:rsidR="00B75D00" w:rsidRPr="00F97F8C">
        <w:rPr>
          <w:i/>
        </w:rPr>
        <w:t>boxplot</w:t>
      </w:r>
      <w:r w:rsidR="00B75D00">
        <w:t xml:space="preserve"> </w:t>
      </w:r>
      <w:r w:rsidR="00943FC4">
        <w:t>se define IQR</w:t>
      </w:r>
      <w:r>
        <w:t>-</w:t>
      </w:r>
      <w:r w:rsidRPr="00CE038F">
        <w:rPr>
          <w:i/>
        </w:rPr>
        <w:t>Inter Quartil e Range</w:t>
      </w:r>
      <w:r w:rsidRPr="00CE038F">
        <w:t xml:space="preserve"> como a diferença entre o terceiro e o primeiro quartis. Os quartis superior e inferior, referid</w:t>
      </w:r>
      <w:r>
        <w:t xml:space="preserve">os como </w:t>
      </w:r>
      <w:r w:rsidRPr="00113F36">
        <w:rPr>
          <w:i/>
        </w:rPr>
        <w:t>hinges</w:t>
      </w:r>
      <w:r>
        <w:t xml:space="preserve">, definem a caixa central, que contém aproximadamente 50% dos dados. O </w:t>
      </w:r>
      <w:r w:rsidRPr="00CE038F">
        <w:rPr>
          <w:i/>
        </w:rPr>
        <w:t>inner fence</w:t>
      </w:r>
      <w:r>
        <w:t xml:space="preserve"> é definido como uma caixa estendida por 1,5 vezes o comprimento da caixa em direção ao máximo e ao mínimo. Os valores que estão nos extremos das </w:t>
      </w:r>
      <w:r w:rsidRPr="00113F36">
        <w:rPr>
          <w:i/>
        </w:rPr>
        <w:t>inner</w:t>
      </w:r>
      <w:r>
        <w:t xml:space="preserve"> </w:t>
      </w:r>
      <w:r w:rsidRPr="00113F36">
        <w:rPr>
          <w:i/>
        </w:rPr>
        <w:t>fences</w:t>
      </w:r>
      <w:r>
        <w:t xml:space="preserve"> são os </w:t>
      </w:r>
      <w:r w:rsidRPr="00F97F8C">
        <w:rPr>
          <w:i/>
        </w:rPr>
        <w:t>whiskers</w:t>
      </w:r>
      <w:r>
        <w:t xml:space="preserve">. Quaisquer valores fora do intervalo das </w:t>
      </w:r>
      <w:r w:rsidRPr="00CE038F">
        <w:rPr>
          <w:i/>
        </w:rPr>
        <w:t>whiskers</w:t>
      </w:r>
      <w:r>
        <w:t xml:space="preserve"> são definidos como </w:t>
      </w:r>
      <w:r w:rsidRPr="00DB0066">
        <w:rPr>
          <w:i/>
        </w:rPr>
        <w:t>outliers</w:t>
      </w:r>
      <w:r>
        <w:t xml:space="preserve">, que nas águas subterrâneas podem ser interpretados como anômalos que compõem o </w:t>
      </w:r>
      <w:r w:rsidR="006B1D27" w:rsidRPr="006B1D27">
        <w:rPr>
          <w:i/>
        </w:rPr>
        <w:t>background</w:t>
      </w:r>
      <w:r>
        <w:t xml:space="preserve"> da região. Define-se a LIF (</w:t>
      </w:r>
      <w:r w:rsidRPr="00113F36">
        <w:rPr>
          <w:i/>
        </w:rPr>
        <w:t>lower inner fence</w:t>
      </w:r>
      <w:r>
        <w:t>) e a LOF (</w:t>
      </w:r>
      <w:r w:rsidRPr="00113F36">
        <w:rPr>
          <w:i/>
        </w:rPr>
        <w:t>lower outer fence</w:t>
      </w:r>
      <w:r>
        <w:t xml:space="preserve">) respectivamente como valendo 1,5 x IQR e 3 x IQR além da </w:t>
      </w:r>
      <w:r w:rsidRPr="00113F36">
        <w:rPr>
          <w:i/>
        </w:rPr>
        <w:t>lower hinge</w:t>
      </w:r>
      <w:r>
        <w:t xml:space="preserve"> em direção ao valor mínimo. Também se definem UIF (</w:t>
      </w:r>
      <w:r w:rsidRPr="00F97F8C">
        <w:rPr>
          <w:i/>
        </w:rPr>
        <w:t>upper inner fence</w:t>
      </w:r>
      <w:r>
        <w:t>) e UOF (</w:t>
      </w:r>
      <w:r w:rsidRPr="00113F36">
        <w:rPr>
          <w:i/>
        </w:rPr>
        <w:t>upper outer fence</w:t>
      </w:r>
      <w:r>
        <w:t xml:space="preserve">) como valendo respectivamente 1,5 x IQR e 3 x IQR além da </w:t>
      </w:r>
      <w:r w:rsidRPr="0040482F">
        <w:rPr>
          <w:i/>
        </w:rPr>
        <w:t>uppe rhinge</w:t>
      </w:r>
      <w:r w:rsidRPr="00CC4A72">
        <w:t xml:space="preserve"> na direção do valor máximo. A UIF é usualmente considerada o </w:t>
      </w:r>
      <w:r w:rsidR="00B75D00">
        <w:t>limite</w:t>
      </w:r>
      <w:r w:rsidR="00B75D00" w:rsidRPr="00CC4A72">
        <w:t xml:space="preserve"> </w:t>
      </w:r>
      <w:r w:rsidRPr="00CC4A72">
        <w:t xml:space="preserve">separando valores de </w:t>
      </w:r>
      <w:r w:rsidR="006B1D27" w:rsidRPr="006B1D27">
        <w:rPr>
          <w:i/>
        </w:rPr>
        <w:t>background</w:t>
      </w:r>
      <w:r w:rsidRPr="00CC4A72">
        <w:t xml:space="preserve"> e anomalias, embora a UOF também possa ser usada como </w:t>
      </w:r>
      <w:r w:rsidR="00B75D00">
        <w:t>limite</w:t>
      </w:r>
      <w:r w:rsidR="00A24052">
        <w:t>.</w:t>
      </w:r>
      <w:r w:rsidR="00A24052">
        <w:rPr>
          <w:rFonts w:cs="Arial"/>
          <w:szCs w:val="24"/>
        </w:rPr>
        <w:t xml:space="preserve"> </w:t>
      </w:r>
    </w:p>
    <w:p w14:paraId="736D51A9" w14:textId="77777777" w:rsidR="00631BD7" w:rsidRPr="009609E5" w:rsidRDefault="007C4789" w:rsidP="00D5319E">
      <w:pPr>
        <w:pStyle w:val="NORMAL0"/>
        <w:spacing w:line="480" w:lineRule="auto"/>
      </w:pPr>
      <w:r w:rsidRPr="00E4717A">
        <w:t>De forma complementar, foi utilizada a técnica de</w:t>
      </w:r>
      <w:r w:rsidR="00631BD7" w:rsidRPr="00E4717A">
        <w:t xml:space="preserve"> uso de </w:t>
      </w:r>
      <w:r w:rsidRPr="00E4717A">
        <w:t>frequências</w:t>
      </w:r>
      <w:r w:rsidR="00631BD7" w:rsidRPr="00E4717A">
        <w:t xml:space="preserve"> acumuladas, também conhecidas por somas cumulativas, de acordo com o método proposto por </w:t>
      </w:r>
      <w:r w:rsidR="00631BD7" w:rsidRPr="00D5319E">
        <w:t>Lepeltier (1969)</w:t>
      </w:r>
      <w:r w:rsidR="00631BD7" w:rsidRPr="00E4717A">
        <w:t xml:space="preserve"> e modificado </w:t>
      </w:r>
      <w:r w:rsidR="00631BD7" w:rsidRPr="009609E5">
        <w:t>por Matschullat et al. (2000)</w:t>
      </w:r>
      <w:r w:rsidRPr="009609E5">
        <w:t>. Este se baseia no pressuposto</w:t>
      </w:r>
      <w:r w:rsidR="00631BD7" w:rsidRPr="009609E5">
        <w:t xml:space="preserve"> de que concentrações de elementos possuem</w:t>
      </w:r>
      <w:r w:rsidR="00631BD7" w:rsidRPr="00E4717A">
        <w:t xml:space="preserve"> uma distribuiç</w:t>
      </w:r>
      <w:r w:rsidRPr="00E4717A">
        <w:t>ão log-</w:t>
      </w:r>
      <w:r w:rsidRPr="009609E5">
        <w:t>normal, ou seja, se utiliza da</w:t>
      </w:r>
      <w:r w:rsidR="00631BD7" w:rsidRPr="009609E5">
        <w:t xml:space="preserve"> </w:t>
      </w:r>
      <w:r w:rsidRPr="009609E5">
        <w:t>ideia</w:t>
      </w:r>
      <w:r w:rsidR="00631BD7" w:rsidRPr="009609E5">
        <w:t xml:space="preserve"> de que a distribuição de elementos segue distribuição normal (ou de Gauss</w:t>
      </w:r>
      <w:r w:rsidRPr="009609E5">
        <w:t>).</w:t>
      </w:r>
    </w:p>
    <w:p w14:paraId="43E2C099" w14:textId="1D2E6E55" w:rsidR="00631BD7" w:rsidRDefault="00631BD7" w:rsidP="003431D8">
      <w:pPr>
        <w:pStyle w:val="NORMAL0"/>
        <w:spacing w:line="480" w:lineRule="auto"/>
      </w:pPr>
      <w:r w:rsidRPr="009609E5">
        <w:lastRenderedPageBreak/>
        <w:t>Projetando-se as "</w:t>
      </w:r>
      <w:r w:rsidRPr="009609E5">
        <w:rPr>
          <w:i/>
          <w:iCs/>
        </w:rPr>
        <w:t>somas cumulativas vs. concentração do elemento</w:t>
      </w:r>
      <w:r w:rsidRPr="009609E5">
        <w:t>", em escala bilogarítmica, um desvio da distribuição log-normal pode ser percebido como uma inflexão na parte superior da curva, representando uma anomalia (</w:t>
      </w:r>
      <w:r w:rsidR="00E61F04" w:rsidRPr="00D5319E">
        <w:t xml:space="preserve">LEPELTIER, 1969; MATSCHULLAT </w:t>
      </w:r>
      <w:r w:rsidRPr="00D5319E">
        <w:t>et al., 2000), conforme demonstrado na</w:t>
      </w:r>
      <w:r w:rsidR="007C4789" w:rsidRPr="009609E5">
        <w:t xml:space="preserve"> </w:t>
      </w:r>
      <w:r w:rsidR="007C4789" w:rsidRPr="00244F70">
        <w:fldChar w:fldCharType="begin"/>
      </w:r>
      <w:r w:rsidR="007C4789" w:rsidRPr="009609E5">
        <w:instrText xml:space="preserve"> REF _Ref516736010 \h </w:instrText>
      </w:r>
      <w:r w:rsidR="009609E5">
        <w:instrText xml:space="preserve"> \* MERGEFORMAT </w:instrText>
      </w:r>
      <w:r w:rsidR="007C4789" w:rsidRPr="00244F70">
        <w:fldChar w:fldCharType="separate"/>
      </w:r>
      <w:r w:rsidR="003431D8">
        <w:t>Figura 4</w:t>
      </w:r>
      <w:r w:rsidR="007C4789" w:rsidRPr="00244F70">
        <w:fldChar w:fldCharType="end"/>
      </w:r>
      <w:r w:rsidR="003431D8">
        <w:t>.</w:t>
      </w:r>
      <w:r w:rsidR="007C4789" w:rsidRPr="009609E5">
        <w:t xml:space="preserve"> Nesta</w:t>
      </w:r>
      <w:r w:rsidRPr="009609E5">
        <w:t xml:space="preserve">, </w:t>
      </w:r>
      <w:r w:rsidR="007C4789" w:rsidRPr="009609E5">
        <w:t xml:space="preserve">conforme descrito por </w:t>
      </w:r>
      <w:r w:rsidR="007C4789" w:rsidRPr="00D5319E">
        <w:rPr>
          <w:szCs w:val="24"/>
        </w:rPr>
        <w:t>Rodrigues e Nalini J</w:t>
      </w:r>
      <w:r w:rsidR="002C50B4">
        <w:rPr>
          <w:szCs w:val="24"/>
        </w:rPr>
        <w:t>r.</w:t>
      </w:r>
      <w:r w:rsidR="007C4789" w:rsidRPr="00D5319E">
        <w:rPr>
          <w:szCs w:val="24"/>
        </w:rPr>
        <w:t xml:space="preserve"> (2009), </w:t>
      </w:r>
      <w:r w:rsidRPr="009609E5">
        <w:t>as duas</w:t>
      </w:r>
      <w:r>
        <w:t xml:space="preserve"> setas apontam para dois momentos decisivos que separam os valores de</w:t>
      </w:r>
      <w:r w:rsidR="007C4789">
        <w:t xml:space="preserve"> </w:t>
      </w:r>
      <w:r w:rsidR="006B1D27" w:rsidRPr="006B1D27">
        <w:rPr>
          <w:i/>
          <w:iCs/>
        </w:rPr>
        <w:t>background</w:t>
      </w:r>
      <w:r w:rsidR="007C4789">
        <w:t xml:space="preserve"> </w:t>
      </w:r>
      <w:r>
        <w:t>de um dado elemento (0 - 70%) de amostras que possuem, naturalmente, concentrações elevadas do elemento (70 - 90%) e de amostras que sofrem influência antropogênica (&gt;90 - 100%).</w:t>
      </w:r>
    </w:p>
    <w:p w14:paraId="3F0686BA" w14:textId="77777777" w:rsidR="00B254CF" w:rsidRDefault="00B254CF" w:rsidP="007C4789">
      <w:pPr>
        <w:pStyle w:val="NORMAL0"/>
      </w:pPr>
    </w:p>
    <w:p w14:paraId="53D314B5" w14:textId="77777777" w:rsidR="00B8492C" w:rsidRDefault="00631BD7" w:rsidP="00B8492C">
      <w:pPr>
        <w:pStyle w:val="Legenda"/>
        <w:jc w:val="center"/>
      </w:pPr>
      <w:bookmarkStart w:id="6" w:name="f1"/>
      <w:bookmarkEnd w:id="6"/>
      <w:r>
        <w:rPr>
          <w:rFonts w:ascii="Verdana" w:hAnsi="Verdana"/>
          <w:noProof/>
          <w:color w:val="000000"/>
          <w:szCs w:val="20"/>
          <w:lang w:eastAsia="pt-BR"/>
        </w:rPr>
        <w:drawing>
          <wp:inline distT="0" distB="0" distL="0" distR="0" wp14:anchorId="4F08BDBE" wp14:editId="3F40D8DF">
            <wp:extent cx="4611366" cy="2472262"/>
            <wp:effectExtent l="0" t="0" r="0" b="444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ielo.br/img/revistas/rem/v62n2/v62n2a06f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66" cy="247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7" w:name="_Ref516736010"/>
    </w:p>
    <w:p w14:paraId="72636312" w14:textId="42EE989A" w:rsidR="00B8492C" w:rsidRPr="00B8492C" w:rsidRDefault="00B8492C" w:rsidP="00B8492C">
      <w:pPr>
        <w:pStyle w:val="Legenda"/>
        <w:rPr>
          <w:rFonts w:ascii="Verdana" w:hAnsi="Verdana"/>
          <w:color w:val="000000"/>
          <w:sz w:val="24"/>
          <w:szCs w:val="20"/>
        </w:rPr>
      </w:pPr>
      <w:r w:rsidRPr="00B8492C">
        <w:rPr>
          <w:sz w:val="24"/>
        </w:rPr>
        <w:t>Figu</w:t>
      </w:r>
      <w:bookmarkEnd w:id="7"/>
      <w:r w:rsidR="003431D8">
        <w:rPr>
          <w:sz w:val="24"/>
        </w:rPr>
        <w:t>ra 4</w:t>
      </w:r>
      <w:r w:rsidRPr="00B8492C">
        <w:rPr>
          <w:sz w:val="24"/>
        </w:rPr>
        <w:t xml:space="preserve">: </w:t>
      </w:r>
      <w:r w:rsidR="003431D8">
        <w:rPr>
          <w:sz w:val="24"/>
        </w:rPr>
        <w:t>P</w:t>
      </w:r>
      <w:r w:rsidRPr="00B8492C">
        <w:rPr>
          <w:sz w:val="24"/>
        </w:rPr>
        <w:t xml:space="preserve">rojeção bilogarítmica </w:t>
      </w:r>
      <w:r w:rsidR="003431D8">
        <w:rPr>
          <w:sz w:val="24"/>
        </w:rPr>
        <w:t>segundo</w:t>
      </w:r>
      <w:r w:rsidRPr="00B8492C">
        <w:rPr>
          <w:sz w:val="24"/>
        </w:rPr>
        <w:t xml:space="preserve"> Rodrigues e Nalini Jr</w:t>
      </w:r>
      <w:r w:rsidR="002C50B4">
        <w:rPr>
          <w:sz w:val="24"/>
        </w:rPr>
        <w:t>.</w:t>
      </w:r>
      <w:r w:rsidRPr="00B8492C">
        <w:rPr>
          <w:sz w:val="24"/>
        </w:rPr>
        <w:t xml:space="preserve"> (2009).</w:t>
      </w:r>
    </w:p>
    <w:p w14:paraId="3A3899E0" w14:textId="77777777" w:rsidR="00631BD7" w:rsidRDefault="00631BD7" w:rsidP="007C478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14:paraId="2873F0A1" w14:textId="77777777" w:rsidR="00121E91" w:rsidRDefault="00121E91" w:rsidP="00130217">
      <w:pPr>
        <w:pStyle w:val="Ttulo1"/>
        <w:ind w:left="0" w:firstLine="0"/>
      </w:pPr>
      <w:r>
        <w:t>RESULTADOS E DISCU</w:t>
      </w:r>
      <w:r w:rsidR="00D27327">
        <w:t>SS</w:t>
      </w:r>
      <w:r>
        <w:t>ÕES</w:t>
      </w:r>
    </w:p>
    <w:p w14:paraId="1CE81BA2" w14:textId="77777777" w:rsidR="008304C7" w:rsidRDefault="008304C7" w:rsidP="00D5319E"/>
    <w:p w14:paraId="5FE449CC" w14:textId="7A32E83E" w:rsidR="000457B6" w:rsidRDefault="000457B6" w:rsidP="000457B6">
      <w:pPr>
        <w:pStyle w:val="Ttulo2"/>
      </w:pPr>
      <w:r>
        <w:t>3.</w:t>
      </w:r>
      <w:r w:rsidR="00657D6F">
        <w:t>1</w:t>
      </w:r>
      <w:r>
        <w:t xml:space="preserve"> </w:t>
      </w:r>
      <w:r w:rsidR="00E61F04">
        <w:t xml:space="preserve">Análise </w:t>
      </w:r>
      <w:r>
        <w:t>de Dados</w:t>
      </w:r>
    </w:p>
    <w:p w14:paraId="53F00A80" w14:textId="77777777" w:rsidR="00121E91" w:rsidRDefault="00121E91" w:rsidP="0040482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2DE178E" w14:textId="2DD31D32" w:rsidR="009F2621" w:rsidRDefault="006D0476" w:rsidP="00D5319E">
      <w:pPr>
        <w:pStyle w:val="NORMAL0"/>
        <w:spacing w:line="480" w:lineRule="auto"/>
      </w:pPr>
      <w:r>
        <w:t>Dentre o conjunto de análises disponível para o presente estudo, 17 foram consideradas impr</w:t>
      </w:r>
      <w:r w:rsidR="00156199">
        <w:t>ó</w:t>
      </w:r>
      <w:r>
        <w:t xml:space="preserve">prias para utilização </w:t>
      </w:r>
      <w:r w:rsidR="00156199">
        <w:t xml:space="preserve">durante a </w:t>
      </w:r>
      <w:r>
        <w:t xml:space="preserve">análise estatística </w:t>
      </w:r>
      <w:r w:rsidR="008A7252">
        <w:t>realizada</w:t>
      </w:r>
      <w:r>
        <w:t xml:space="preserve"> </w:t>
      </w:r>
      <w:r w:rsidR="00720636" w:rsidRPr="00CE079E">
        <w:t>para a</w:t>
      </w:r>
      <w:r w:rsidR="00720636">
        <w:t xml:space="preserve"> </w:t>
      </w:r>
      <w:r>
        <w:t xml:space="preserve">determinação do </w:t>
      </w:r>
      <w:r w:rsidR="006B1D27" w:rsidRPr="006B1D27">
        <w:rPr>
          <w:i/>
        </w:rPr>
        <w:t>background</w:t>
      </w:r>
      <w:r>
        <w:t xml:space="preserve"> local. Esta defin</w:t>
      </w:r>
      <w:r w:rsidR="008A7252">
        <w:t xml:space="preserve">ição se deu por meio da análise, </w:t>
      </w:r>
      <w:r>
        <w:t>em ambiente SIG</w:t>
      </w:r>
      <w:r w:rsidR="008A7252">
        <w:t>,</w:t>
      </w:r>
      <w:r>
        <w:t xml:space="preserve"> quando comparada a correlação espacial entre a localização de cada </w:t>
      </w:r>
      <w:r>
        <w:lastRenderedPageBreak/>
        <w:t>nascente em relação as potenciais fontes de contaminação (áreas impactadas em superfície e bocas de mina a montante das nascentes avaliadas)</w:t>
      </w:r>
      <w:r w:rsidR="008A7252">
        <w:t>.</w:t>
      </w:r>
    </w:p>
    <w:p w14:paraId="3ACFB6DA" w14:textId="1713C97A" w:rsidR="00657D6F" w:rsidRDefault="00657D6F" w:rsidP="00D5319E">
      <w:pPr>
        <w:pStyle w:val="NORMAL0"/>
        <w:spacing w:line="480" w:lineRule="auto"/>
      </w:pPr>
      <w:r w:rsidRPr="00264A1B">
        <w:t xml:space="preserve">A análise estatística realizada com os dados analíticos </w:t>
      </w:r>
      <w:r w:rsidR="00CF5AF5" w:rsidRPr="00264A1B">
        <w:t xml:space="preserve">pH, </w:t>
      </w:r>
      <w:r w:rsidR="004D56E8" w:rsidRPr="00264A1B">
        <w:t>ferro, manganês e sulfato permitiu a determinação das concentrações médias, além</w:t>
      </w:r>
      <w:r w:rsidRPr="00264A1B">
        <w:t xml:space="preserve"> de outras variáveis importantes destes </w:t>
      </w:r>
      <w:r w:rsidR="00CF5AF5" w:rsidRPr="00264A1B">
        <w:t>parâmetros analíticos de monitoramento</w:t>
      </w:r>
      <w:r w:rsidRPr="00264A1B">
        <w:t xml:space="preserve">, e os respectivos valores de </w:t>
      </w:r>
      <w:r w:rsidR="006B1D27" w:rsidRPr="006B1D27">
        <w:rPr>
          <w:i/>
        </w:rPr>
        <w:t>background</w:t>
      </w:r>
      <w:r w:rsidRPr="00264A1B">
        <w:t xml:space="preserve"> </w:t>
      </w:r>
      <w:r w:rsidR="00CF5AF5" w:rsidRPr="00264A1B">
        <w:t xml:space="preserve">das nascentes </w:t>
      </w:r>
      <w:r w:rsidRPr="00264A1B">
        <w:t>da área estudada</w:t>
      </w:r>
      <w:r w:rsidR="008A7252">
        <w:t xml:space="preserve"> (</w:t>
      </w:r>
      <w:r w:rsidRPr="00264A1B">
        <w:fldChar w:fldCharType="begin"/>
      </w:r>
      <w:r w:rsidRPr="00264A1B">
        <w:instrText xml:space="preserve"> REF _Ref501320996 \h </w:instrText>
      </w:r>
      <w:r w:rsidR="00CF5AF5" w:rsidRPr="00264A1B">
        <w:instrText xml:space="preserve"> \* MERGEFORMAT </w:instrText>
      </w:r>
      <w:r w:rsidRPr="00264A1B">
        <w:fldChar w:fldCharType="separate"/>
      </w:r>
      <w:r w:rsidR="00D30A85">
        <w:t xml:space="preserve">Tabela </w:t>
      </w:r>
      <w:r w:rsidR="00D30A85">
        <w:rPr>
          <w:noProof/>
        </w:rPr>
        <w:t>1</w:t>
      </w:r>
      <w:r w:rsidRPr="00264A1B">
        <w:fldChar w:fldCharType="end"/>
      </w:r>
      <w:r w:rsidR="008A7252">
        <w:t>)</w:t>
      </w:r>
      <w:r w:rsidRPr="00264A1B">
        <w:t>.</w:t>
      </w:r>
      <w:r>
        <w:t xml:space="preserve"> </w:t>
      </w:r>
    </w:p>
    <w:p w14:paraId="39CE69C1" w14:textId="6C1476CB" w:rsidR="00743443" w:rsidRDefault="008A7252" w:rsidP="00743443">
      <w:pPr>
        <w:pStyle w:val="NORMAL0"/>
        <w:spacing w:line="480" w:lineRule="auto"/>
      </w:pPr>
      <w:r>
        <w:t xml:space="preserve">Em relação ao pH, foi registrado para o conjunto de dados avaliados (n = 83) </w:t>
      </w:r>
      <w:r w:rsidR="00F96CAA">
        <w:t>um</w:t>
      </w:r>
      <w:r w:rsidR="00650D78">
        <w:t>a</w:t>
      </w:r>
      <w:r w:rsidR="00F96CAA">
        <w:t xml:space="preserve"> varia</w:t>
      </w:r>
      <w:r w:rsidR="00650D78">
        <w:t>ção</w:t>
      </w:r>
      <w:r w:rsidR="00F96CAA">
        <w:t xml:space="preserve"> de 5,1 a 7,7 com uma mediana de 6,3</w:t>
      </w:r>
      <w:r w:rsidR="00650D78">
        <w:t xml:space="preserve">. Aplicando-se </w:t>
      </w:r>
      <w:r w:rsidR="00F96CAA">
        <w:t xml:space="preserve">as técnicas do EDA, observa-se que o pH apresenta um limite </w:t>
      </w:r>
      <w:r w:rsidR="00B75D00">
        <w:t xml:space="preserve">inferior </w:t>
      </w:r>
      <w:r w:rsidR="00F96CAA">
        <w:t xml:space="preserve">de </w:t>
      </w:r>
      <w:r w:rsidR="00B75D00">
        <w:t xml:space="preserve">5,5 e um superior de </w:t>
      </w:r>
      <w:r w:rsidR="00F96CAA">
        <w:t xml:space="preserve">7,9 e podendo </w:t>
      </w:r>
      <w:r w:rsidR="00743443">
        <w:t>este</w:t>
      </w:r>
      <w:r w:rsidR="00B75D00">
        <w:t xml:space="preserve"> </w:t>
      </w:r>
      <w:r w:rsidR="00F96CAA">
        <w:t xml:space="preserve">ser </w:t>
      </w:r>
      <w:r w:rsidR="00B75D00">
        <w:t xml:space="preserve">considerada </w:t>
      </w:r>
      <w:r w:rsidR="00743443">
        <w:t xml:space="preserve">intervalo para </w:t>
      </w:r>
      <w:r w:rsidR="00743443" w:rsidRPr="00743443">
        <w:rPr>
          <w:i/>
        </w:rPr>
        <w:t>background</w:t>
      </w:r>
      <w:r w:rsidR="00743443">
        <w:t>.</w:t>
      </w:r>
    </w:p>
    <w:p w14:paraId="0D7B99ED" w14:textId="73A6109F" w:rsidR="00F96CAA" w:rsidRDefault="00F96CAA" w:rsidP="00D5319E">
      <w:pPr>
        <w:pStyle w:val="NORMAL0"/>
        <w:spacing w:line="480" w:lineRule="auto"/>
      </w:pPr>
      <w:r>
        <w:t xml:space="preserve">Da mesma forma, </w:t>
      </w:r>
      <w:r w:rsidR="00CB666E">
        <w:t xml:space="preserve">em se tratando do parâmetro </w:t>
      </w:r>
      <w:r>
        <w:t>ferro</w:t>
      </w:r>
      <w:r w:rsidR="00CB666E">
        <w:t>, obteve-se na análise do conjunto de dados</w:t>
      </w:r>
      <w:r w:rsidR="006A1902">
        <w:t xml:space="preserve"> uma mediana de 0,88mg/L, com uma variação entre </w:t>
      </w:r>
      <w:r>
        <w:t>0,02mg/</w:t>
      </w:r>
      <w:r w:rsidR="00365357">
        <w:t>L</w:t>
      </w:r>
      <w:r>
        <w:t xml:space="preserve"> </w:t>
      </w:r>
      <w:r w:rsidR="006A1902">
        <w:t xml:space="preserve">e </w:t>
      </w:r>
      <w:r>
        <w:t>7,3mg/</w:t>
      </w:r>
      <w:r w:rsidR="00365357">
        <w:t>L</w:t>
      </w:r>
      <w:r>
        <w:t xml:space="preserve">. </w:t>
      </w:r>
      <w:r w:rsidR="006A1902">
        <w:t>A partir da aplicação do</w:t>
      </w:r>
      <w:r>
        <w:t xml:space="preserve"> EDA ao conjunto </w:t>
      </w:r>
      <w:r w:rsidR="00CB666E">
        <w:t>encontrou-se</w:t>
      </w:r>
      <w:r>
        <w:t xml:space="preserve"> como concentração máxima o valor de 2,58mg/</w:t>
      </w:r>
      <w:r w:rsidR="00365357">
        <w:t>L</w:t>
      </w:r>
      <w:r>
        <w:t xml:space="preserve">, podendo ser considerados anômalos </w:t>
      </w:r>
      <w:r w:rsidR="00CB666E">
        <w:t>concentrações superiores a</w:t>
      </w:r>
      <w:r>
        <w:t xml:space="preserve"> este limite.</w:t>
      </w:r>
    </w:p>
    <w:p w14:paraId="59CCD929" w14:textId="77777777" w:rsidR="003D7F1E" w:rsidRDefault="000300C1" w:rsidP="00D5319E">
      <w:pPr>
        <w:pStyle w:val="NORMAL0"/>
        <w:spacing w:line="480" w:lineRule="auto"/>
      </w:pPr>
      <w:r>
        <w:t>Quanto ao metal manganês, este apresentou concentrações em um range que variou de 0,01</w:t>
      </w:r>
      <w:r w:rsidR="00365357">
        <w:t>mg/L</w:t>
      </w:r>
      <w:r w:rsidR="009A403F">
        <w:t xml:space="preserve"> a 1,26mg/</w:t>
      </w:r>
      <w:r w:rsidR="00365357">
        <w:t>L, com uma mediana de 0,08mg/L</w:t>
      </w:r>
      <w:r w:rsidR="009A403F">
        <w:t>. Em termos de resultados do EDA, este metal apresentou como valor máximo a ser considerado não anômalo a concentração de 0,30mg/</w:t>
      </w:r>
      <w:r w:rsidR="00365357">
        <w:t>L</w:t>
      </w:r>
      <w:r w:rsidR="009A403F">
        <w:t xml:space="preserve">. </w:t>
      </w:r>
    </w:p>
    <w:p w14:paraId="22B3DF59" w14:textId="27F0C543" w:rsidR="003D7F1E" w:rsidRDefault="009A403F" w:rsidP="00D5319E">
      <w:pPr>
        <w:pStyle w:val="NORMAL0"/>
        <w:spacing w:line="480" w:lineRule="auto"/>
      </w:pPr>
      <w:r>
        <w:t>O último parâmetro analítico a ser apreciado pela técnica do EDA foi o sulfato</w:t>
      </w:r>
      <w:r w:rsidR="00EC05DA">
        <w:t xml:space="preserve"> e </w:t>
      </w:r>
      <w:r>
        <w:t>para este foram encontrad</w:t>
      </w:r>
      <w:r w:rsidR="00EC05DA">
        <w:t>a</w:t>
      </w:r>
      <w:r>
        <w:t xml:space="preserve">s </w:t>
      </w:r>
      <w:r w:rsidRPr="00CB666E">
        <w:t xml:space="preserve">concentrações mínimas e máximas de </w:t>
      </w:r>
      <w:r w:rsidR="00CB666E" w:rsidRPr="00CB666E">
        <w:t>&lt;10</w:t>
      </w:r>
      <w:r w:rsidRPr="00CB666E">
        <w:t>,00 e 88,00mg/</w:t>
      </w:r>
      <w:r w:rsidR="00365357" w:rsidRPr="00CB666E">
        <w:t>L</w:t>
      </w:r>
      <w:r w:rsidR="006A1902" w:rsidRPr="00CB666E">
        <w:t>,</w:t>
      </w:r>
      <w:r w:rsidRPr="00CB666E">
        <w:t xml:space="preserve"> respectivamente, com uma mediana de 5,00mg/</w:t>
      </w:r>
      <w:r w:rsidR="00365357" w:rsidRPr="00CB666E">
        <w:t>L</w:t>
      </w:r>
      <w:r w:rsidRPr="00CB666E">
        <w:t xml:space="preserve">. </w:t>
      </w:r>
      <w:r w:rsidR="006A1902" w:rsidRPr="00CB666E">
        <w:t xml:space="preserve">Assim, </w:t>
      </w:r>
      <w:r w:rsidRPr="00CB666E">
        <w:t xml:space="preserve">pode-se considerar como </w:t>
      </w:r>
      <w:r w:rsidR="00F97CBA">
        <w:t xml:space="preserve">limite superior do </w:t>
      </w:r>
      <w:r w:rsidR="00F97CBA" w:rsidRPr="00CE1923">
        <w:rPr>
          <w:i/>
        </w:rPr>
        <w:t>background</w:t>
      </w:r>
      <w:r w:rsidR="00F97CBA">
        <w:t xml:space="preserve"> geoquímico </w:t>
      </w:r>
      <w:r w:rsidRPr="00CB666E">
        <w:t xml:space="preserve">a </w:t>
      </w:r>
      <w:r w:rsidR="00F97CBA">
        <w:t xml:space="preserve">concentração de </w:t>
      </w:r>
      <w:r w:rsidRPr="00CB666E">
        <w:t>20mg/</w:t>
      </w:r>
      <w:r w:rsidR="00365357" w:rsidRPr="00CB666E">
        <w:t>L</w:t>
      </w:r>
      <w:r w:rsidRPr="00CB666E">
        <w:t>.</w:t>
      </w:r>
    </w:p>
    <w:p w14:paraId="31A910B2" w14:textId="77777777" w:rsidR="00A24052" w:rsidRDefault="00A24052" w:rsidP="00D5319E">
      <w:pPr>
        <w:pStyle w:val="NORMAL0"/>
        <w:spacing w:line="480" w:lineRule="auto"/>
      </w:pPr>
    </w:p>
    <w:p w14:paraId="698C30EC" w14:textId="4F3C297D" w:rsidR="00657D6F" w:rsidRDefault="00657D6F" w:rsidP="00657D6F">
      <w:pPr>
        <w:pStyle w:val="Legenda"/>
      </w:pPr>
      <w:bookmarkStart w:id="8" w:name="_Ref501320996"/>
      <w:bookmarkStart w:id="9" w:name="_Toc501321880"/>
      <w:r>
        <w:lastRenderedPageBreak/>
        <w:t xml:space="preserve">Tabela </w:t>
      </w:r>
      <w:fldSimple w:instr=" SEQ Tabela \* ARABIC ">
        <w:r w:rsidR="00D30A85">
          <w:rPr>
            <w:noProof/>
          </w:rPr>
          <w:t>1</w:t>
        </w:r>
      </w:fldSimple>
      <w:bookmarkEnd w:id="8"/>
      <w:r>
        <w:t>:</w:t>
      </w:r>
      <w:r w:rsidR="00D03B90">
        <w:t xml:space="preserve"> </w:t>
      </w:r>
      <w:bookmarkEnd w:id="9"/>
      <w:r w:rsidR="00D03B90">
        <w:t>Resultado</w:t>
      </w:r>
      <w:r w:rsidR="007E5EC2">
        <w:t xml:space="preserve"> das análises</w:t>
      </w:r>
      <w:r w:rsidR="00D03B90">
        <w:t xml:space="preserve"> </w:t>
      </w:r>
      <w:r w:rsidR="008846A2">
        <w:t>es</w:t>
      </w:r>
      <w:r w:rsidR="007E5EC2">
        <w:t>ta</w:t>
      </w:r>
      <w:r w:rsidR="008846A2">
        <w:t>tístic</w:t>
      </w:r>
      <w:r w:rsidR="007E5EC2">
        <w:t>a</w:t>
      </w:r>
      <w:r w:rsidR="008846A2">
        <w:t>s</w:t>
      </w:r>
      <w:r w:rsidR="00130217" w:rsidRPr="00D63BEB">
        <w:t xml:space="preserve"> </w:t>
      </w:r>
      <w:r w:rsidR="007E5EC2" w:rsidRPr="00D63BEB">
        <w:t>dos</w:t>
      </w:r>
      <w:r w:rsidR="007E5EC2">
        <w:t xml:space="preserve"> parâmetros analíticos avaliados, com destaque para o </w:t>
      </w:r>
      <w:r w:rsidR="007E5EC2" w:rsidRPr="007E5EC2">
        <w:rPr>
          <w:i/>
        </w:rPr>
        <w:t>background</w:t>
      </w:r>
      <w:r w:rsidR="007E5EC2">
        <w:t xml:space="preserve"> geoquímico.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1"/>
        <w:gridCol w:w="1977"/>
        <w:gridCol w:w="1640"/>
        <w:gridCol w:w="1362"/>
        <w:gridCol w:w="1362"/>
        <w:gridCol w:w="1488"/>
      </w:tblGrid>
      <w:tr w:rsidR="00130217" w:rsidRPr="00657D6F" w14:paraId="1D8542E9" w14:textId="77777777" w:rsidTr="00D03B90">
        <w:trPr>
          <w:trHeight w:val="300"/>
        </w:trPr>
        <w:tc>
          <w:tcPr>
            <w:tcW w:w="1625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23DB489" w14:textId="77777777" w:rsidR="00130217" w:rsidRPr="00657D6F" w:rsidRDefault="00130217" w:rsidP="00657D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bookmarkStart w:id="10" w:name="OLE_LINK1"/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443CDB3" w14:textId="77777777" w:rsidR="00130217" w:rsidRPr="00657D6F" w:rsidRDefault="00130217" w:rsidP="00657D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pH</w:t>
            </w:r>
            <w:proofErr w:type="gram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8373560" w14:textId="77777777" w:rsidR="00130217" w:rsidRPr="00657D6F" w:rsidRDefault="00130217" w:rsidP="00657D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Ferro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9078C8E" w14:textId="77777777" w:rsidR="00130217" w:rsidRPr="00657D6F" w:rsidRDefault="00130217" w:rsidP="00657D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Manganês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A7CD8D" w14:textId="77777777" w:rsidR="00130217" w:rsidRPr="00657D6F" w:rsidRDefault="00130217" w:rsidP="00657D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Sulfatos</w:t>
            </w:r>
          </w:p>
        </w:tc>
      </w:tr>
      <w:tr w:rsidR="00130217" w:rsidRPr="00657D6F" w14:paraId="190B1BE2" w14:textId="77777777" w:rsidTr="00D03B90">
        <w:trPr>
          <w:trHeight w:val="300"/>
        </w:trPr>
        <w:tc>
          <w:tcPr>
            <w:tcW w:w="1625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C64B053" w14:textId="77777777" w:rsidR="00130217" w:rsidRPr="00657D6F" w:rsidRDefault="00130217" w:rsidP="00657D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DCD30A9" w14:textId="77777777" w:rsidR="00130217" w:rsidRPr="00657D6F" w:rsidRDefault="00130217" w:rsidP="00657D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3D0B70C" w14:textId="77777777" w:rsidR="00130217" w:rsidRPr="00657D6F" w:rsidRDefault="00130217" w:rsidP="00657D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mg</w:t>
            </w:r>
            <w:proofErr w:type="gramEnd"/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/L</w:t>
            </w:r>
          </w:p>
        </w:tc>
      </w:tr>
      <w:tr w:rsidR="00657D6F" w:rsidRPr="00657D6F" w14:paraId="4A3FAE0C" w14:textId="77777777" w:rsidTr="00D03B90">
        <w:trPr>
          <w:trHeight w:val="300"/>
        </w:trPr>
        <w:tc>
          <w:tcPr>
            <w:tcW w:w="5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A395C61" w14:textId="77777777" w:rsidR="00657D6F" w:rsidRPr="00657D6F" w:rsidRDefault="00657D6F" w:rsidP="00657D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Parâmetros descritivos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99E6AE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Média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337B33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0A3323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0,88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5896DD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0,12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A06B42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11,37</w:t>
            </w:r>
          </w:p>
        </w:tc>
      </w:tr>
      <w:tr w:rsidR="00657D6F" w:rsidRPr="00657D6F" w14:paraId="52684FC1" w14:textId="77777777" w:rsidTr="00D03B90">
        <w:trPr>
          <w:trHeight w:val="300"/>
        </w:trPr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04F1DB" w14:textId="77777777" w:rsidR="00657D6F" w:rsidRPr="00657D6F" w:rsidRDefault="00657D6F" w:rsidP="00657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BF1CD3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Mediana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C1A251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6,3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7CEB32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0,31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57BB0E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0,08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AFAC0D" w14:textId="19021AA0" w:rsidR="00657D6F" w:rsidRPr="00657D6F" w:rsidRDefault="00CB666E" w:rsidP="00CB66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&lt;10</w:t>
            </w:r>
            <w:r w:rsidR="00657D6F"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,00</w:t>
            </w:r>
          </w:p>
        </w:tc>
      </w:tr>
      <w:tr w:rsidR="00657D6F" w:rsidRPr="00657D6F" w14:paraId="48C369D6" w14:textId="77777777" w:rsidTr="00D03B90">
        <w:trPr>
          <w:trHeight w:val="300"/>
        </w:trPr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6C88193" w14:textId="77777777" w:rsidR="00657D6F" w:rsidRPr="00657D6F" w:rsidRDefault="00657D6F" w:rsidP="00657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1F8B70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Desv.Pad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3539E1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0,59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FA3FAF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1,27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69F956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0,17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8F2D24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14,62</w:t>
            </w:r>
          </w:p>
        </w:tc>
      </w:tr>
      <w:tr w:rsidR="00657D6F" w:rsidRPr="00657D6F" w14:paraId="73B4BCF9" w14:textId="77777777" w:rsidTr="00D03B90">
        <w:trPr>
          <w:trHeight w:val="300"/>
        </w:trPr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BC01395" w14:textId="77777777" w:rsidR="00657D6F" w:rsidRPr="00657D6F" w:rsidRDefault="00657D6F" w:rsidP="00657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BBF0A0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Mínimo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0B1E7D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5,1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9D7E9F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0,02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0F721A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0,01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992F34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5,00</w:t>
            </w:r>
          </w:p>
        </w:tc>
      </w:tr>
      <w:tr w:rsidR="00657D6F" w:rsidRPr="00657D6F" w14:paraId="7D3224AC" w14:textId="77777777" w:rsidTr="00D03B90">
        <w:trPr>
          <w:trHeight w:val="300"/>
        </w:trPr>
        <w:tc>
          <w:tcPr>
            <w:tcW w:w="50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C2898D" w14:textId="77777777" w:rsidR="00657D6F" w:rsidRPr="00657D6F" w:rsidRDefault="00657D6F" w:rsidP="00657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23D20B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Máximo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3DD885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7,7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A84F23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7,30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F0F656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1,26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272E90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88,00</w:t>
            </w:r>
          </w:p>
        </w:tc>
      </w:tr>
      <w:tr w:rsidR="00657D6F" w:rsidRPr="00657D6F" w14:paraId="40892AF9" w14:textId="77777777" w:rsidTr="00D03B90">
        <w:trPr>
          <w:trHeight w:val="300"/>
        </w:trPr>
        <w:tc>
          <w:tcPr>
            <w:tcW w:w="5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7B5DCF0" w14:textId="77777777" w:rsidR="00657D6F" w:rsidRPr="00657D6F" w:rsidRDefault="00657D6F" w:rsidP="00657D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Parâmetros EDA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E99FCD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1º quartil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A479A7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5,90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DBD102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0,12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EE35A9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8D5881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5,00</w:t>
            </w:r>
          </w:p>
        </w:tc>
      </w:tr>
      <w:tr w:rsidR="00657D6F" w:rsidRPr="00657D6F" w14:paraId="5C9F66F0" w14:textId="77777777" w:rsidTr="00D03B90">
        <w:trPr>
          <w:trHeight w:val="300"/>
        </w:trPr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94271B0" w14:textId="77777777" w:rsidR="00657D6F" w:rsidRPr="00657D6F" w:rsidRDefault="00657D6F" w:rsidP="00657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1067F9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3º quartil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7178AC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6,70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2F47B0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1,11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DDDF4F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0,14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CCD8A0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11,00</w:t>
            </w:r>
          </w:p>
        </w:tc>
      </w:tr>
      <w:tr w:rsidR="00657D6F" w:rsidRPr="00657D6F" w14:paraId="224437E1" w14:textId="77777777" w:rsidTr="00D03B90">
        <w:trPr>
          <w:trHeight w:val="300"/>
        </w:trPr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A3CE5D8" w14:textId="77777777" w:rsidR="00657D6F" w:rsidRPr="00657D6F" w:rsidRDefault="00657D6F" w:rsidP="00657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4A7572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IQR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88786B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0,80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809130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0,99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4EC311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0,11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9E3AD9" w14:textId="77777777" w:rsidR="00657D6F" w:rsidRPr="00657D6F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57D6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6,00</w:t>
            </w:r>
          </w:p>
        </w:tc>
      </w:tr>
      <w:tr w:rsidR="00657D6F" w:rsidRPr="00657D6F" w14:paraId="69E87BCD" w14:textId="77777777" w:rsidTr="00D03B90">
        <w:trPr>
          <w:trHeight w:val="300"/>
        </w:trPr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E206A30" w14:textId="77777777" w:rsidR="00657D6F" w:rsidRPr="00657D6F" w:rsidRDefault="00657D6F" w:rsidP="00657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9676CD" w14:textId="6F0BACF7" w:rsidR="00657D6F" w:rsidRPr="005B00B7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5B00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Q3 + 1,5 IQR</w:t>
            </w:r>
            <w:r w:rsidR="00D03B9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¹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585544" w14:textId="77777777" w:rsidR="00657D6F" w:rsidRPr="005B00B7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5B00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7,90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CBCD6D" w14:textId="77777777" w:rsidR="00657D6F" w:rsidRPr="005B00B7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5B00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2,58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947928" w14:textId="77777777" w:rsidR="00657D6F" w:rsidRPr="005B00B7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5B00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0,30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F8D3F7" w14:textId="77777777" w:rsidR="00657D6F" w:rsidRPr="005B00B7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5B00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20,00</w:t>
            </w:r>
          </w:p>
        </w:tc>
      </w:tr>
      <w:tr w:rsidR="00657D6F" w:rsidRPr="00657D6F" w14:paraId="27C21362" w14:textId="77777777" w:rsidTr="00D03B90">
        <w:trPr>
          <w:trHeight w:val="300"/>
        </w:trPr>
        <w:tc>
          <w:tcPr>
            <w:tcW w:w="50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E255D8" w14:textId="77777777" w:rsidR="00657D6F" w:rsidRPr="00657D6F" w:rsidRDefault="00657D6F" w:rsidP="00657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04084E" w14:textId="1815EF19" w:rsidR="00657D6F" w:rsidRPr="005B00B7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5B00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Q1-1,5 IQR</w:t>
            </w:r>
            <w:r w:rsidR="00D03B9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²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BF3ABB" w14:textId="77777777" w:rsidR="00657D6F" w:rsidRPr="005B00B7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5B00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5,50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3CD9B9" w14:textId="77777777" w:rsidR="00657D6F" w:rsidRPr="005B00B7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5B00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79541E" w14:textId="77777777" w:rsidR="00657D6F" w:rsidRPr="005B00B7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5B00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9CC86E" w14:textId="77777777" w:rsidR="00657D6F" w:rsidRPr="005B00B7" w:rsidRDefault="00657D6F" w:rsidP="005B0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5B00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2,00</w:t>
            </w:r>
          </w:p>
        </w:tc>
      </w:tr>
      <w:tr w:rsidR="00D03B90" w:rsidRPr="00657D6F" w14:paraId="0797E3C8" w14:textId="77777777" w:rsidTr="00D03B90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3FEEE" w14:textId="5EEF113C" w:rsidR="00D03B90" w:rsidRPr="00D03B90" w:rsidRDefault="00D03B90" w:rsidP="00D03B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03B90">
              <w:rPr>
                <w:rFonts w:ascii="Arial" w:hAnsi="Arial" w:cs="Arial"/>
                <w:sz w:val="20"/>
              </w:rPr>
              <w:t xml:space="preserve">¹ Representa o limite superior do </w:t>
            </w:r>
            <w:proofErr w:type="gramStart"/>
            <w:r w:rsidRPr="00D03B90">
              <w:rPr>
                <w:rFonts w:ascii="Arial" w:hAnsi="Arial" w:cs="Arial"/>
                <w:i/>
                <w:sz w:val="20"/>
              </w:rPr>
              <w:t>background</w:t>
            </w:r>
            <w:r w:rsidRPr="00D03B90">
              <w:rPr>
                <w:rFonts w:ascii="Arial" w:hAnsi="Arial" w:cs="Arial"/>
                <w:sz w:val="20"/>
              </w:rPr>
              <w:t xml:space="preserve"> ;</w:t>
            </w:r>
            <w:proofErr w:type="gramEnd"/>
            <w:r w:rsidRPr="00D03B90">
              <w:rPr>
                <w:rFonts w:ascii="Arial" w:hAnsi="Arial" w:cs="Arial"/>
                <w:sz w:val="20"/>
              </w:rPr>
              <w:t xml:space="preserve"> ² Representa o limite inferior do </w:t>
            </w:r>
            <w:r w:rsidRPr="00D03B90">
              <w:rPr>
                <w:rFonts w:ascii="Arial" w:hAnsi="Arial" w:cs="Arial"/>
                <w:i/>
                <w:sz w:val="20"/>
              </w:rPr>
              <w:t>background</w:t>
            </w:r>
            <w:r w:rsidRPr="00D03B90">
              <w:rPr>
                <w:rFonts w:ascii="Arial" w:hAnsi="Arial" w:cs="Arial"/>
                <w:sz w:val="20"/>
              </w:rPr>
              <w:t>.</w:t>
            </w:r>
          </w:p>
        </w:tc>
      </w:tr>
      <w:bookmarkEnd w:id="10"/>
    </w:tbl>
    <w:p w14:paraId="5B6E4DE6" w14:textId="77777777" w:rsidR="00121E91" w:rsidRDefault="00121E91" w:rsidP="0040482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1AF4C58" w14:textId="276693A7" w:rsidR="00657D6F" w:rsidRDefault="001E3A9C" w:rsidP="00D5319E">
      <w:pPr>
        <w:pStyle w:val="NORMAL0"/>
        <w:spacing w:line="480" w:lineRule="auto"/>
      </w:pPr>
      <w:r>
        <w:t xml:space="preserve">Ao se relacionar os dados de pH registrados para o conjunto de dados (n = 83) a </w:t>
      </w:r>
      <w:r w:rsidRPr="001E3A9C">
        <w:t xml:space="preserve">projeção </w:t>
      </w:r>
      <w:r>
        <w:t>bi</w:t>
      </w:r>
      <w:r w:rsidRPr="001E3A9C">
        <w:t xml:space="preserve">logarítmica da “soma cumulativa vs. </w:t>
      </w:r>
      <w:r>
        <w:t>c</w:t>
      </w:r>
      <w:r w:rsidRPr="001E3A9C">
        <w:t xml:space="preserve">oncentração” </w:t>
      </w:r>
      <w:r>
        <w:t>verifica-se que os dados formam</w:t>
      </w:r>
      <w:r w:rsidR="00971E35" w:rsidRPr="00971E35">
        <w:t xml:space="preserve"> uma curva gaussiana quase perfeita</w:t>
      </w:r>
      <w:r w:rsidR="00971E35">
        <w:t>, nesta</w:t>
      </w:r>
      <w:r w:rsidR="00687EE6">
        <w:t>,</w:t>
      </w:r>
      <w:r w:rsidR="00971E35">
        <w:t xml:space="preserve"> os limites</w:t>
      </w:r>
      <w:r w:rsidR="007E5EC2">
        <w:t xml:space="preserve"> destacados por setas vermelhas na Figura 5A,</w:t>
      </w:r>
      <w:r w:rsidR="00971E35">
        <w:t xml:space="preserve"> </w:t>
      </w:r>
      <w:r w:rsidR="00687EE6">
        <w:t>ficam entre valores de pH de 5,6 a 7,</w:t>
      </w:r>
      <w:r w:rsidR="007E5EC2">
        <w:t>2.</w:t>
      </w:r>
    </w:p>
    <w:p w14:paraId="6FE44854" w14:textId="5FDAB141" w:rsidR="00D95F88" w:rsidRDefault="00D95F88" w:rsidP="00D5319E">
      <w:pPr>
        <w:pStyle w:val="NORMAL0"/>
        <w:spacing w:line="480" w:lineRule="auto"/>
      </w:pPr>
      <w:r>
        <w:rPr>
          <w:rFonts w:cs="Arial"/>
          <w:szCs w:val="24"/>
        </w:rPr>
        <w:t>Quanto a curva do elemento ferro (</w:t>
      </w:r>
      <w:r>
        <w:fldChar w:fldCharType="begin"/>
      </w:r>
      <w:r>
        <w:instrText xml:space="preserve"> REF _Ref516753312 \h  \* MERGEFORMAT </w:instrText>
      </w:r>
      <w:r>
        <w:fldChar w:fldCharType="separate"/>
      </w:r>
      <w:r w:rsidR="00D30A85" w:rsidRPr="00B8492C">
        <w:t xml:space="preserve">Figura </w:t>
      </w:r>
      <w:r w:rsidR="00D30A85">
        <w:t>5</w:t>
      </w:r>
      <w:r>
        <w:fldChar w:fldCharType="end"/>
      </w:r>
      <w:r>
        <w:t>B), dois desvios são claros na curva cumulativa, um em 0,5mg/L, indicando que até esta concentração encontra-se a porção predominante da população analisada. Outra inflexão ocorre entre os valores de 2,5 e 3,0mg/L. A interpretação deste gráfico apresenta valores em consonância com o obtido no EDA.</w:t>
      </w:r>
      <w:r w:rsidR="00F6602C">
        <w:t xml:space="preserve"> </w:t>
      </w:r>
      <w:r>
        <w:t xml:space="preserve">A curva referente </w:t>
      </w:r>
      <w:r w:rsidR="002E1986">
        <w:t>às</w:t>
      </w:r>
      <w:r>
        <w:t xml:space="preserve"> concentrações de manganês apresenta um desvio entre as concentrações 0,3 e 0,4mg/L (</w:t>
      </w:r>
      <w:r>
        <w:fldChar w:fldCharType="begin"/>
      </w:r>
      <w:r>
        <w:instrText xml:space="preserve"> REF _Ref516753312 \h </w:instrText>
      </w:r>
      <w:r w:rsidR="00D15BAA">
        <w:instrText xml:space="preserve"> \* MERGEFORMAT </w:instrText>
      </w:r>
      <w:r>
        <w:fldChar w:fldCharType="separate"/>
      </w:r>
      <w:r w:rsidR="00D30A85" w:rsidRPr="00B8492C">
        <w:t xml:space="preserve">Figura </w:t>
      </w:r>
      <w:r w:rsidR="00D30A85">
        <w:t>5</w:t>
      </w:r>
      <w:r>
        <w:fldChar w:fldCharType="end"/>
      </w:r>
      <w:r>
        <w:t>C)</w:t>
      </w:r>
      <w:r w:rsidR="002E1986">
        <w:t>, informação que corrobora o dado obtido no EDA.</w:t>
      </w:r>
    </w:p>
    <w:p w14:paraId="23B7BCD9" w14:textId="7365BA64" w:rsidR="00DA68EC" w:rsidRDefault="004857A8" w:rsidP="0040482F">
      <w:pPr>
        <w:pStyle w:val="NORMAL0"/>
        <w:spacing w:line="480" w:lineRule="auto"/>
      </w:pPr>
      <w:r w:rsidRPr="00D15BAA">
        <w:t>O</w:t>
      </w:r>
      <w:r w:rsidR="002E1986" w:rsidRPr="00D15BAA">
        <w:t xml:space="preserve"> parâmetro sulfato</w:t>
      </w:r>
      <w:r w:rsidR="00EC05DA" w:rsidRPr="00CE079E">
        <w:t xml:space="preserve"> </w:t>
      </w:r>
      <w:r w:rsidR="00EC05DA" w:rsidRPr="00D15BAA">
        <w:t>registra</w:t>
      </w:r>
      <w:r w:rsidR="002E1986" w:rsidRPr="00D15BAA">
        <w:t xml:space="preserve"> um predomínio de</w:t>
      </w:r>
      <w:r w:rsidR="00EC05DA" w:rsidRPr="00D15BAA">
        <w:t xml:space="preserve"> concentraç</w:t>
      </w:r>
      <w:r w:rsidR="00EC05DA" w:rsidRPr="00D5319E">
        <w:t xml:space="preserve">ões </w:t>
      </w:r>
      <w:r w:rsidR="00EC05DA" w:rsidRPr="00D15BAA">
        <w:t>menores que 10,0</w:t>
      </w:r>
      <w:r w:rsidR="002E1986" w:rsidRPr="00D15BAA">
        <w:t xml:space="preserve"> mg/L (</w:t>
      </w:r>
      <w:r w:rsidR="002E1986" w:rsidRPr="00D15BAA">
        <w:fldChar w:fldCharType="begin"/>
      </w:r>
      <w:r w:rsidR="002E1986" w:rsidRPr="00D15BAA">
        <w:instrText xml:space="preserve"> REF _Ref516753312 \h </w:instrText>
      </w:r>
      <w:r w:rsidR="00EC05DA" w:rsidRPr="00D15BAA">
        <w:instrText xml:space="preserve"> \* MERGEFORMAT </w:instrText>
      </w:r>
      <w:r w:rsidR="002E1986" w:rsidRPr="00D15BAA">
        <w:fldChar w:fldCharType="separate"/>
      </w:r>
      <w:r w:rsidR="00D30A85" w:rsidRPr="00B8492C">
        <w:t xml:space="preserve">Figura </w:t>
      </w:r>
      <w:r w:rsidR="00D30A85">
        <w:t>5</w:t>
      </w:r>
      <w:r w:rsidR="002E1986" w:rsidRPr="00D15BAA">
        <w:fldChar w:fldCharType="end"/>
      </w:r>
      <w:r w:rsidR="002E1986" w:rsidRPr="00D15BAA">
        <w:t xml:space="preserve">D), </w:t>
      </w:r>
      <w:r w:rsidR="00EC05DA" w:rsidRPr="00D15BAA">
        <w:t xml:space="preserve">o qual representa o limite </w:t>
      </w:r>
      <w:r w:rsidR="002E1986" w:rsidRPr="00D15BAA">
        <w:t xml:space="preserve">de quantificação </w:t>
      </w:r>
      <w:r w:rsidR="00EC05DA" w:rsidRPr="00D15BAA">
        <w:t>do método analítico utilizado</w:t>
      </w:r>
      <w:r w:rsidR="002E1986" w:rsidRPr="00D15BAA">
        <w:t>. Neste sentido, descartando-se esta anomalia analítica, fica evidente um decréscimo das concentrações entre 15 e 20mg/L, indicativo de uma quebra de população.</w:t>
      </w:r>
    </w:p>
    <w:p w14:paraId="0AA49876" w14:textId="77777777" w:rsidR="007E5EC2" w:rsidRDefault="007E5EC2" w:rsidP="0040482F">
      <w:pPr>
        <w:pStyle w:val="NORMAL0"/>
        <w:spacing w:line="480" w:lineRule="auto"/>
        <w:rPr>
          <w:rFonts w:cs="Arial"/>
          <w:szCs w:val="24"/>
        </w:rPr>
        <w:sectPr w:rsidR="007E5EC2" w:rsidSect="009956B5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27548BD2" w14:textId="05DBB021" w:rsidR="00657D6F" w:rsidRDefault="00DA68EC" w:rsidP="00DA68EC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04FF7A29" wp14:editId="4F62C5C2">
            <wp:extent cx="4316367" cy="2293199"/>
            <wp:effectExtent l="0" t="0" r="8255" b="0"/>
            <wp:docPr id="11" name="Imagem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367" cy="2293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CEE6D35" wp14:editId="06434D7D">
            <wp:extent cx="4301763" cy="2293200"/>
            <wp:effectExtent l="0" t="0" r="3810" b="0"/>
            <wp:docPr id="13" name="Imagem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763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84B3E7" w14:textId="36F33664" w:rsidR="00657D6F" w:rsidRDefault="00DA68EC" w:rsidP="00DA68EC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DC0EE7" wp14:editId="11EC446B">
            <wp:extent cx="4320000" cy="2287216"/>
            <wp:effectExtent l="0" t="0" r="4445" b="0"/>
            <wp:docPr id="14" name="Imagem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28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 w:rsidR="00D15BA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BE1273F" wp14:editId="016505A1">
            <wp:extent cx="4320000" cy="2265268"/>
            <wp:effectExtent l="0" t="0" r="4445" b="1905"/>
            <wp:docPr id="3" name="Image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265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F581E" w14:textId="190461C3" w:rsidR="00B8492C" w:rsidRPr="00B8492C" w:rsidRDefault="00B8492C" w:rsidP="00B8492C">
      <w:pPr>
        <w:pStyle w:val="Legenda"/>
        <w:rPr>
          <w:rFonts w:cs="Arial"/>
          <w:sz w:val="32"/>
          <w:szCs w:val="24"/>
        </w:rPr>
      </w:pPr>
      <w:bookmarkStart w:id="11" w:name="_Ref516753312"/>
      <w:r w:rsidRPr="00B8492C">
        <w:rPr>
          <w:sz w:val="24"/>
        </w:rPr>
        <w:t xml:space="preserve">Figura </w:t>
      </w:r>
      <w:r w:rsidRPr="00B8492C">
        <w:rPr>
          <w:sz w:val="24"/>
        </w:rPr>
        <w:fldChar w:fldCharType="begin"/>
      </w:r>
      <w:r w:rsidRPr="00B8492C">
        <w:rPr>
          <w:sz w:val="24"/>
        </w:rPr>
        <w:instrText xml:space="preserve"> SEQ Figura \* ARABIC </w:instrText>
      </w:r>
      <w:r w:rsidRPr="00B8492C">
        <w:rPr>
          <w:sz w:val="24"/>
        </w:rPr>
        <w:fldChar w:fldCharType="separate"/>
      </w:r>
      <w:r w:rsidR="00D30A85">
        <w:rPr>
          <w:noProof/>
          <w:sz w:val="24"/>
        </w:rPr>
        <w:t>5</w:t>
      </w:r>
      <w:r w:rsidRPr="00B8492C">
        <w:rPr>
          <w:noProof/>
          <w:sz w:val="24"/>
        </w:rPr>
        <w:fldChar w:fldCharType="end"/>
      </w:r>
      <w:bookmarkEnd w:id="11"/>
      <w:r w:rsidRPr="00B8492C">
        <w:rPr>
          <w:sz w:val="24"/>
        </w:rPr>
        <w:t xml:space="preserve">: Histogramas de </w:t>
      </w:r>
      <w:r w:rsidRPr="00B8492C">
        <w:rPr>
          <w:rFonts w:cs="Arial"/>
          <w:sz w:val="24"/>
        </w:rPr>
        <w:t>“</w:t>
      </w:r>
      <w:r w:rsidRPr="00B8492C">
        <w:rPr>
          <w:sz w:val="24"/>
        </w:rPr>
        <w:t xml:space="preserve">soma cumulativa </w:t>
      </w:r>
      <w:r w:rsidRPr="00B8492C">
        <w:rPr>
          <w:rFonts w:cs="Arial"/>
          <w:sz w:val="24"/>
        </w:rPr>
        <w:t xml:space="preserve">vs. </w:t>
      </w:r>
      <w:r w:rsidRPr="00B8492C">
        <w:rPr>
          <w:sz w:val="24"/>
        </w:rPr>
        <w:t>Concentração”</w:t>
      </w:r>
      <w:r w:rsidRPr="00B8492C">
        <w:rPr>
          <w:rFonts w:cs="Arial"/>
          <w:sz w:val="24"/>
        </w:rPr>
        <w:t xml:space="preserve"> </w:t>
      </w:r>
      <w:r w:rsidR="007E5EC2">
        <w:rPr>
          <w:rFonts w:cs="Arial"/>
          <w:sz w:val="24"/>
        </w:rPr>
        <w:t>dos parâmetros avaliados.</w:t>
      </w:r>
    </w:p>
    <w:p w14:paraId="0AF6A31A" w14:textId="77777777" w:rsidR="00657D6F" w:rsidRDefault="00657D6F" w:rsidP="00121E9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DBCB6D" w14:textId="77777777" w:rsidR="00DA68EC" w:rsidRDefault="00DA68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517EA2B" w14:textId="77777777" w:rsidR="00DA68EC" w:rsidRDefault="00DA68EC" w:rsidP="00121E91">
      <w:pPr>
        <w:spacing w:after="0" w:line="240" w:lineRule="auto"/>
        <w:rPr>
          <w:rFonts w:ascii="Arial" w:hAnsi="Arial" w:cs="Arial"/>
          <w:sz w:val="24"/>
          <w:szCs w:val="24"/>
        </w:rPr>
        <w:sectPr w:rsidR="00DA68EC" w:rsidSect="00DA68EC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5BB0451B" w14:textId="013A2E9C" w:rsidR="00A56366" w:rsidRDefault="0048155A" w:rsidP="00D5319E">
      <w:pPr>
        <w:pStyle w:val="NORMAL0"/>
        <w:spacing w:line="480" w:lineRule="auto"/>
      </w:pPr>
      <w:r>
        <w:lastRenderedPageBreak/>
        <w:t xml:space="preserve">Quando se analisa os valores de </w:t>
      </w:r>
      <w:r w:rsidR="006B1D27" w:rsidRPr="006B1D27">
        <w:rPr>
          <w:i/>
        </w:rPr>
        <w:t>background</w:t>
      </w:r>
      <w:r>
        <w:t xml:space="preserve"> obtidos </w:t>
      </w:r>
      <w:r w:rsidR="00863821">
        <w:t xml:space="preserve">em comparação </w:t>
      </w:r>
      <w:r>
        <w:t>as legislações que vers</w:t>
      </w:r>
      <w:r w:rsidR="0093114D">
        <w:t>am</w:t>
      </w:r>
      <w:r>
        <w:t xml:space="preserve"> sobre </w:t>
      </w:r>
      <w:r w:rsidR="008304C7">
        <w:t xml:space="preserve">água subterrânea e </w:t>
      </w:r>
      <w:r>
        <w:t>água para consumo humano</w:t>
      </w:r>
      <w:r w:rsidR="008304C7">
        <w:t>,</w:t>
      </w:r>
      <w:r>
        <w:t xml:space="preserve"> fica evidente que os valores de fundo para a área </w:t>
      </w:r>
      <w:r w:rsidR="0093114D">
        <w:t>(</w:t>
      </w:r>
      <w:r w:rsidR="0093114D">
        <w:fldChar w:fldCharType="begin"/>
      </w:r>
      <w:r w:rsidR="0093114D">
        <w:instrText xml:space="preserve"> REF _Ref516758286 \h </w:instrText>
      </w:r>
      <w:r w:rsidR="0093114D">
        <w:fldChar w:fldCharType="separate"/>
      </w:r>
      <w:r w:rsidR="00D30A85">
        <w:t xml:space="preserve">Tabela </w:t>
      </w:r>
      <w:r w:rsidR="00D30A85">
        <w:rPr>
          <w:noProof/>
        </w:rPr>
        <w:t>2</w:t>
      </w:r>
      <w:r w:rsidR="0093114D">
        <w:fldChar w:fldCharType="end"/>
      </w:r>
      <w:r w:rsidR="0093114D">
        <w:t xml:space="preserve">) em alguns casos suplantam </w:t>
      </w:r>
      <w:r w:rsidR="008304C7">
        <w:t>as concentrações</w:t>
      </w:r>
      <w:r w:rsidR="0093114D">
        <w:t xml:space="preserve"> </w:t>
      </w:r>
      <w:r w:rsidR="008304C7">
        <w:t>estabelecidas</w:t>
      </w:r>
      <w:r w:rsidR="0093114D">
        <w:t xml:space="preserve"> </w:t>
      </w:r>
      <w:r w:rsidR="008304C7">
        <w:t>n</w:t>
      </w:r>
      <w:r w:rsidR="0093114D">
        <w:t xml:space="preserve">estas legislações. O caso do manganês é emblemático, pois o </w:t>
      </w:r>
      <w:r w:rsidR="00863821">
        <w:t>limite</w:t>
      </w:r>
      <w:r w:rsidR="00073FA5">
        <w:t xml:space="preserve"> superior para a concentração de </w:t>
      </w:r>
      <w:r w:rsidR="006B1D27" w:rsidRPr="006B1D27">
        <w:rPr>
          <w:i/>
        </w:rPr>
        <w:t>background</w:t>
      </w:r>
      <w:r w:rsidR="00073FA5">
        <w:t xml:space="preserve"> deste elemento</w:t>
      </w:r>
      <w:r w:rsidR="0093114D">
        <w:t xml:space="preserve"> ultrapassa os valores </w:t>
      </w:r>
      <w:r w:rsidR="00ED48BD">
        <w:t xml:space="preserve">orientativos </w:t>
      </w:r>
      <w:r w:rsidR="00A56366" w:rsidRPr="002464F0">
        <w:rPr>
          <w:rFonts w:cs="Arial"/>
          <w:szCs w:val="24"/>
        </w:rPr>
        <w:t xml:space="preserve">preconizado </w:t>
      </w:r>
      <w:r w:rsidR="00A56366" w:rsidRPr="006B1D27">
        <w:rPr>
          <w:rFonts w:cs="Arial"/>
          <w:szCs w:val="24"/>
        </w:rPr>
        <w:t>pelo Anexo XX da Portaria de Consolidação MS n. 5/2017</w:t>
      </w:r>
      <w:r w:rsidR="00A56366" w:rsidRPr="002464F0">
        <w:rPr>
          <w:rFonts w:cs="Arial"/>
          <w:szCs w:val="24"/>
        </w:rPr>
        <w:t xml:space="preserve"> que versa sobre potabilidade de água.</w:t>
      </w:r>
    </w:p>
    <w:p w14:paraId="1C3E883C" w14:textId="24EA6333" w:rsidR="00166059" w:rsidRDefault="00166059" w:rsidP="00B254CF">
      <w:pPr>
        <w:pStyle w:val="Legenda"/>
        <w:spacing w:after="0"/>
      </w:pPr>
      <w:bookmarkStart w:id="12" w:name="_Ref516758286"/>
      <w:r>
        <w:t xml:space="preserve">Tabela </w:t>
      </w:r>
      <w:fldSimple w:instr=" SEQ Tabela \* ARABIC ">
        <w:r w:rsidR="00D30A85">
          <w:rPr>
            <w:noProof/>
          </w:rPr>
          <w:t>2</w:t>
        </w:r>
      </w:fldSimple>
      <w:bookmarkEnd w:id="12"/>
      <w:r>
        <w:t xml:space="preserve">: </w:t>
      </w:r>
      <w:r w:rsidR="000733FE">
        <w:t>Comparativo entre os valores obtidos no EDA e as legislações que versam sobre a temática</w:t>
      </w:r>
      <w:r w:rsidR="00817B61">
        <w:t xml:space="preserve"> água</w:t>
      </w:r>
      <w:r w:rsidR="000733FE">
        <w:t>.</w:t>
      </w:r>
    </w:p>
    <w:tbl>
      <w:tblPr>
        <w:tblStyle w:val="Tabelacomgrade"/>
        <w:tblW w:w="51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5"/>
        <w:gridCol w:w="1278"/>
        <w:gridCol w:w="1453"/>
        <w:gridCol w:w="1453"/>
        <w:gridCol w:w="1449"/>
      </w:tblGrid>
      <w:tr w:rsidR="001F65D6" w:rsidRPr="00166059" w14:paraId="573FBA44" w14:textId="77777777" w:rsidTr="00817B61">
        <w:trPr>
          <w:trHeight w:val="397"/>
        </w:trPr>
        <w:tc>
          <w:tcPr>
            <w:tcW w:w="2034" w:type="pct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5FD141B" w14:textId="77777777" w:rsidR="001F65D6" w:rsidRPr="00166059" w:rsidRDefault="001F65D6" w:rsidP="0040482F">
            <w:pPr>
              <w:pStyle w:val="NORMAL0"/>
              <w:spacing w:line="240" w:lineRule="auto"/>
              <w:ind w:firstLine="0"/>
              <w:jc w:val="left"/>
              <w:rPr>
                <w:b/>
              </w:rPr>
            </w:pPr>
            <w:bookmarkStart w:id="13" w:name="OLE_LINK2"/>
          </w:p>
        </w:tc>
        <w:tc>
          <w:tcPr>
            <w:tcW w:w="673" w:type="pct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8F90D06" w14:textId="77777777" w:rsidR="001F65D6" w:rsidRPr="00166059" w:rsidRDefault="001F65D6" w:rsidP="0040482F">
            <w:pPr>
              <w:pStyle w:val="NORMAL0"/>
              <w:spacing w:line="240" w:lineRule="auto"/>
              <w:ind w:firstLine="0"/>
              <w:jc w:val="center"/>
              <w:rPr>
                <w:b/>
              </w:rPr>
            </w:pPr>
            <w:proofErr w:type="gramStart"/>
            <w:r w:rsidRPr="00166059">
              <w:rPr>
                <w:b/>
              </w:rPr>
              <w:t>pH</w:t>
            </w:r>
            <w:proofErr w:type="gramEnd"/>
          </w:p>
        </w:tc>
        <w:tc>
          <w:tcPr>
            <w:tcW w:w="765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5758862" w14:textId="77777777" w:rsidR="001F65D6" w:rsidRPr="00166059" w:rsidRDefault="001F65D6" w:rsidP="0040482F">
            <w:pPr>
              <w:pStyle w:val="NORMAL0"/>
              <w:spacing w:line="240" w:lineRule="auto"/>
              <w:ind w:firstLine="0"/>
              <w:jc w:val="center"/>
              <w:rPr>
                <w:b/>
              </w:rPr>
            </w:pPr>
            <w:r w:rsidRPr="00166059">
              <w:rPr>
                <w:b/>
              </w:rPr>
              <w:t>Ferro</w:t>
            </w:r>
          </w:p>
        </w:tc>
        <w:tc>
          <w:tcPr>
            <w:tcW w:w="765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8FDCBFB" w14:textId="77777777" w:rsidR="001F65D6" w:rsidRPr="00166059" w:rsidRDefault="001F65D6" w:rsidP="0040482F">
            <w:pPr>
              <w:pStyle w:val="NORMAL0"/>
              <w:spacing w:line="240" w:lineRule="auto"/>
              <w:ind w:firstLine="0"/>
              <w:jc w:val="center"/>
              <w:rPr>
                <w:b/>
              </w:rPr>
            </w:pPr>
            <w:r w:rsidRPr="00166059">
              <w:rPr>
                <w:b/>
              </w:rPr>
              <w:t>Manganês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B870E64" w14:textId="77777777" w:rsidR="001F65D6" w:rsidRPr="00166059" w:rsidRDefault="001F65D6" w:rsidP="0040482F">
            <w:pPr>
              <w:pStyle w:val="NORMAL0"/>
              <w:spacing w:line="240" w:lineRule="auto"/>
              <w:ind w:firstLine="0"/>
              <w:jc w:val="center"/>
              <w:rPr>
                <w:b/>
              </w:rPr>
            </w:pPr>
            <w:r w:rsidRPr="00166059">
              <w:rPr>
                <w:b/>
              </w:rPr>
              <w:t>Sulfatos</w:t>
            </w:r>
          </w:p>
        </w:tc>
      </w:tr>
      <w:tr w:rsidR="001F65D6" w:rsidRPr="00166059" w14:paraId="77F91F0D" w14:textId="77777777" w:rsidTr="00817B61">
        <w:trPr>
          <w:trHeight w:val="397"/>
        </w:trPr>
        <w:tc>
          <w:tcPr>
            <w:tcW w:w="2034" w:type="pct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2D9956D" w14:textId="77777777" w:rsidR="001F65D6" w:rsidRPr="00166059" w:rsidRDefault="001F65D6" w:rsidP="0040482F">
            <w:pPr>
              <w:pStyle w:val="NORMAL0"/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673" w:type="pct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4E74EA4" w14:textId="77777777" w:rsidR="001F65D6" w:rsidRPr="00166059" w:rsidRDefault="001F65D6" w:rsidP="001F65D6">
            <w:pPr>
              <w:pStyle w:val="NORMAL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294" w:type="pct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D6C967" w14:textId="64B43B2F" w:rsidR="001F65D6" w:rsidRPr="00166059" w:rsidRDefault="001F65D6" w:rsidP="0040482F">
            <w:pPr>
              <w:pStyle w:val="NORMAL0"/>
              <w:spacing w:line="240" w:lineRule="auto"/>
              <w:ind w:firstLine="0"/>
              <w:jc w:val="center"/>
              <w:rPr>
                <w:b/>
              </w:rPr>
            </w:pPr>
            <w:proofErr w:type="gramStart"/>
            <w:r w:rsidRPr="00166059">
              <w:rPr>
                <w:b/>
              </w:rPr>
              <w:t>mg</w:t>
            </w:r>
            <w:proofErr w:type="gramEnd"/>
            <w:r w:rsidRPr="00166059">
              <w:rPr>
                <w:b/>
              </w:rPr>
              <w:t>/L</w:t>
            </w:r>
          </w:p>
        </w:tc>
      </w:tr>
      <w:tr w:rsidR="001F65D6" w:rsidRPr="00166059" w14:paraId="4DFD4B41" w14:textId="77777777" w:rsidTr="00817B61">
        <w:trPr>
          <w:trHeight w:val="397"/>
        </w:trPr>
        <w:tc>
          <w:tcPr>
            <w:tcW w:w="20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B291D20" w14:textId="4C8FEE97" w:rsidR="00166059" w:rsidRPr="00166059" w:rsidRDefault="006B1D27" w:rsidP="0040482F">
            <w:pPr>
              <w:pStyle w:val="NORMAL0"/>
              <w:spacing w:line="240" w:lineRule="auto"/>
              <w:ind w:firstLine="0"/>
              <w:jc w:val="left"/>
            </w:pPr>
            <w:proofErr w:type="gramStart"/>
            <w:r w:rsidRPr="006B1D27">
              <w:rPr>
                <w:i/>
              </w:rPr>
              <w:t>background</w:t>
            </w:r>
            <w:proofErr w:type="gramEnd"/>
            <w:r w:rsidR="001F65D6">
              <w:t xml:space="preserve"> sup. (</w:t>
            </w:r>
            <w:r w:rsidR="001F65D6" w:rsidRPr="001F65D6">
              <w:t>Q3 + 1,5 IQR</w:t>
            </w:r>
            <w:r w:rsidR="001F65D6">
              <w:t>)</w:t>
            </w:r>
          </w:p>
        </w:tc>
        <w:tc>
          <w:tcPr>
            <w:tcW w:w="67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34F2193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7,90</w:t>
            </w:r>
          </w:p>
        </w:tc>
        <w:tc>
          <w:tcPr>
            <w:tcW w:w="7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C7F325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2,58</w:t>
            </w:r>
          </w:p>
        </w:tc>
        <w:tc>
          <w:tcPr>
            <w:tcW w:w="7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AC7BE1D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0,30</w:t>
            </w:r>
          </w:p>
        </w:tc>
        <w:tc>
          <w:tcPr>
            <w:tcW w:w="76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BD53920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20,00</w:t>
            </w:r>
          </w:p>
        </w:tc>
      </w:tr>
      <w:tr w:rsidR="001F65D6" w:rsidRPr="00166059" w14:paraId="4BB69867" w14:textId="77777777" w:rsidTr="00817B61">
        <w:trPr>
          <w:trHeight w:val="397"/>
        </w:trPr>
        <w:tc>
          <w:tcPr>
            <w:tcW w:w="2034" w:type="pct"/>
            <w:noWrap/>
            <w:vAlign w:val="center"/>
            <w:hideMark/>
          </w:tcPr>
          <w:p w14:paraId="093CD329" w14:textId="48C106F3" w:rsidR="00166059" w:rsidRPr="00166059" w:rsidRDefault="006B1D27" w:rsidP="0040482F">
            <w:pPr>
              <w:pStyle w:val="NORMAL0"/>
              <w:spacing w:line="240" w:lineRule="auto"/>
              <w:ind w:firstLine="0"/>
              <w:jc w:val="left"/>
            </w:pPr>
            <w:proofErr w:type="gramStart"/>
            <w:r w:rsidRPr="006B1D27">
              <w:rPr>
                <w:i/>
              </w:rPr>
              <w:t>background</w:t>
            </w:r>
            <w:proofErr w:type="gramEnd"/>
            <w:r w:rsidR="001F65D6">
              <w:t xml:space="preserve"> inf. (</w:t>
            </w:r>
            <w:r w:rsidR="001F65D6" w:rsidRPr="001F65D6">
              <w:t xml:space="preserve">Q3 </w:t>
            </w:r>
            <w:r w:rsidR="001F65D6">
              <w:t>-</w:t>
            </w:r>
            <w:r w:rsidR="001F65D6" w:rsidRPr="001F65D6">
              <w:t xml:space="preserve"> 1,5 IQR</w:t>
            </w:r>
            <w:r w:rsidR="001F65D6">
              <w:t>)</w:t>
            </w:r>
          </w:p>
        </w:tc>
        <w:tc>
          <w:tcPr>
            <w:tcW w:w="673" w:type="pct"/>
            <w:noWrap/>
            <w:vAlign w:val="center"/>
            <w:hideMark/>
          </w:tcPr>
          <w:p w14:paraId="7D7D7780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5,50</w:t>
            </w:r>
          </w:p>
        </w:tc>
        <w:tc>
          <w:tcPr>
            <w:tcW w:w="765" w:type="pct"/>
            <w:noWrap/>
            <w:vAlign w:val="center"/>
            <w:hideMark/>
          </w:tcPr>
          <w:p w14:paraId="515E5EC3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0,00</w:t>
            </w:r>
          </w:p>
        </w:tc>
        <w:tc>
          <w:tcPr>
            <w:tcW w:w="765" w:type="pct"/>
            <w:noWrap/>
            <w:vAlign w:val="center"/>
            <w:hideMark/>
          </w:tcPr>
          <w:p w14:paraId="2C664305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0,00</w:t>
            </w:r>
          </w:p>
        </w:tc>
        <w:tc>
          <w:tcPr>
            <w:tcW w:w="764" w:type="pct"/>
            <w:noWrap/>
            <w:vAlign w:val="center"/>
            <w:hideMark/>
          </w:tcPr>
          <w:p w14:paraId="6A25EB09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2,00</w:t>
            </w:r>
          </w:p>
        </w:tc>
      </w:tr>
      <w:tr w:rsidR="001F65D6" w:rsidRPr="00166059" w14:paraId="02B919F5" w14:textId="77777777" w:rsidTr="00817B61">
        <w:trPr>
          <w:trHeight w:val="397"/>
        </w:trPr>
        <w:tc>
          <w:tcPr>
            <w:tcW w:w="2034" w:type="pct"/>
            <w:noWrap/>
            <w:vAlign w:val="center"/>
            <w:hideMark/>
          </w:tcPr>
          <w:p w14:paraId="370182FB" w14:textId="640826E2" w:rsidR="00166059" w:rsidRPr="00166059" w:rsidRDefault="001F65D6" w:rsidP="0040482F">
            <w:pPr>
              <w:pStyle w:val="NORMAL0"/>
              <w:spacing w:line="240" w:lineRule="auto"/>
              <w:ind w:firstLine="0"/>
              <w:jc w:val="left"/>
            </w:pPr>
            <w:r>
              <w:t xml:space="preserve">Res. </w:t>
            </w:r>
            <w:r w:rsidR="00166059" w:rsidRPr="00166059">
              <w:t xml:space="preserve">CONAMA </w:t>
            </w:r>
            <w:r>
              <w:t xml:space="preserve">n. </w:t>
            </w:r>
            <w:r w:rsidR="00166059" w:rsidRPr="00166059">
              <w:t>357</w:t>
            </w:r>
            <w:r>
              <w:t>/2005</w:t>
            </w:r>
            <w:r w:rsidR="00817B61">
              <w:t>¹</w:t>
            </w:r>
          </w:p>
        </w:tc>
        <w:tc>
          <w:tcPr>
            <w:tcW w:w="673" w:type="pct"/>
            <w:noWrap/>
            <w:vAlign w:val="center"/>
            <w:hideMark/>
          </w:tcPr>
          <w:p w14:paraId="500AAFAC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-</w:t>
            </w:r>
          </w:p>
        </w:tc>
        <w:tc>
          <w:tcPr>
            <w:tcW w:w="765" w:type="pct"/>
            <w:noWrap/>
            <w:vAlign w:val="center"/>
            <w:hideMark/>
          </w:tcPr>
          <w:p w14:paraId="4502472E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5,0</w:t>
            </w:r>
          </w:p>
        </w:tc>
        <w:tc>
          <w:tcPr>
            <w:tcW w:w="765" w:type="pct"/>
            <w:noWrap/>
            <w:vAlign w:val="center"/>
            <w:hideMark/>
          </w:tcPr>
          <w:p w14:paraId="0371868F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0,5</w:t>
            </w:r>
          </w:p>
        </w:tc>
        <w:tc>
          <w:tcPr>
            <w:tcW w:w="764" w:type="pct"/>
            <w:noWrap/>
            <w:vAlign w:val="center"/>
            <w:hideMark/>
          </w:tcPr>
          <w:p w14:paraId="3543BD12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250</w:t>
            </w:r>
          </w:p>
        </w:tc>
      </w:tr>
      <w:tr w:rsidR="001F65D6" w:rsidRPr="00166059" w14:paraId="6F86846F" w14:textId="77777777" w:rsidTr="00817B61">
        <w:trPr>
          <w:trHeight w:val="397"/>
        </w:trPr>
        <w:tc>
          <w:tcPr>
            <w:tcW w:w="2034" w:type="pct"/>
            <w:noWrap/>
            <w:vAlign w:val="center"/>
            <w:hideMark/>
          </w:tcPr>
          <w:p w14:paraId="12258B3F" w14:textId="211405CB" w:rsidR="00166059" w:rsidRPr="00166059" w:rsidRDefault="001F65D6" w:rsidP="0040482F">
            <w:pPr>
              <w:pStyle w:val="NORMAL0"/>
              <w:spacing w:line="240" w:lineRule="auto"/>
              <w:ind w:firstLine="0"/>
              <w:jc w:val="left"/>
            </w:pPr>
            <w:r>
              <w:t xml:space="preserve">Res. </w:t>
            </w:r>
            <w:r w:rsidR="00166059" w:rsidRPr="00166059">
              <w:t xml:space="preserve">CONAMA </w:t>
            </w:r>
            <w:r>
              <w:t xml:space="preserve">n. </w:t>
            </w:r>
            <w:r w:rsidR="00166059" w:rsidRPr="00166059">
              <w:t>396</w:t>
            </w:r>
            <w:r>
              <w:t>/2008</w:t>
            </w:r>
            <w:r w:rsidR="00817B61">
              <w:t>²</w:t>
            </w:r>
          </w:p>
        </w:tc>
        <w:tc>
          <w:tcPr>
            <w:tcW w:w="673" w:type="pct"/>
            <w:noWrap/>
            <w:vAlign w:val="center"/>
            <w:hideMark/>
          </w:tcPr>
          <w:p w14:paraId="455BAF0E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-</w:t>
            </w:r>
          </w:p>
        </w:tc>
        <w:tc>
          <w:tcPr>
            <w:tcW w:w="765" w:type="pct"/>
            <w:noWrap/>
            <w:vAlign w:val="center"/>
            <w:hideMark/>
          </w:tcPr>
          <w:p w14:paraId="69577B48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0,3-5,0</w:t>
            </w:r>
          </w:p>
        </w:tc>
        <w:tc>
          <w:tcPr>
            <w:tcW w:w="765" w:type="pct"/>
            <w:noWrap/>
            <w:vAlign w:val="center"/>
            <w:hideMark/>
          </w:tcPr>
          <w:p w14:paraId="5C217922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0,05-0,2</w:t>
            </w:r>
          </w:p>
        </w:tc>
        <w:tc>
          <w:tcPr>
            <w:tcW w:w="764" w:type="pct"/>
            <w:noWrap/>
            <w:vAlign w:val="center"/>
            <w:hideMark/>
          </w:tcPr>
          <w:p w14:paraId="0B30F07C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250-1.000</w:t>
            </w:r>
          </w:p>
        </w:tc>
      </w:tr>
      <w:tr w:rsidR="001F65D6" w:rsidRPr="00166059" w14:paraId="3003DD43" w14:textId="77777777" w:rsidTr="00817B61">
        <w:trPr>
          <w:trHeight w:val="397"/>
        </w:trPr>
        <w:tc>
          <w:tcPr>
            <w:tcW w:w="20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69389CB" w14:textId="3FE3F0E2" w:rsidR="00166059" w:rsidRPr="00166059" w:rsidRDefault="00166059" w:rsidP="00817B61">
            <w:pPr>
              <w:pStyle w:val="NORMAL0"/>
              <w:spacing w:line="240" w:lineRule="auto"/>
              <w:ind w:firstLine="0"/>
              <w:jc w:val="left"/>
            </w:pPr>
            <w:r w:rsidRPr="00166059">
              <w:t xml:space="preserve">Portaria MS </w:t>
            </w:r>
            <w:r w:rsidR="00817B61">
              <w:t>n. 5</w:t>
            </w:r>
            <w:r w:rsidR="001F65D6">
              <w:t>/201</w:t>
            </w:r>
            <w:r w:rsidR="00817B61">
              <w:t>7³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519E0C7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6,0-9,0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CD0F654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0,3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786CBA8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0,1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93FCF63" w14:textId="77777777" w:rsidR="00166059" w:rsidRPr="00166059" w:rsidRDefault="00166059" w:rsidP="0040482F">
            <w:pPr>
              <w:pStyle w:val="NORMAL0"/>
              <w:spacing w:line="240" w:lineRule="auto"/>
              <w:ind w:firstLine="0"/>
              <w:jc w:val="center"/>
            </w:pPr>
            <w:r w:rsidRPr="00166059">
              <w:t>250</w:t>
            </w:r>
          </w:p>
        </w:tc>
      </w:tr>
      <w:tr w:rsidR="00817B61" w:rsidRPr="00166059" w14:paraId="448FA862" w14:textId="77777777" w:rsidTr="00817B61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F36C53" w14:textId="5B228554" w:rsidR="00817B61" w:rsidRPr="00166059" w:rsidRDefault="00817B61" w:rsidP="00817B61">
            <w:pPr>
              <w:pStyle w:val="NORMAL0"/>
              <w:spacing w:line="240" w:lineRule="auto"/>
              <w:ind w:firstLine="0"/>
              <w:jc w:val="center"/>
            </w:pPr>
            <w:r>
              <w:t>¹ Água superficial classe 3 e consumo humano; ² Água subterrânea; ³ Potabilidade</w:t>
            </w:r>
          </w:p>
        </w:tc>
      </w:tr>
      <w:bookmarkEnd w:id="13"/>
    </w:tbl>
    <w:p w14:paraId="1F4C1415" w14:textId="77777777" w:rsidR="00166059" w:rsidRDefault="00166059" w:rsidP="0048155A">
      <w:pPr>
        <w:pStyle w:val="NORMAL0"/>
        <w:ind w:firstLine="0"/>
      </w:pPr>
    </w:p>
    <w:p w14:paraId="6D84E2CD" w14:textId="77777777" w:rsidR="00121E91" w:rsidRDefault="00121E91" w:rsidP="00655545">
      <w:pPr>
        <w:pStyle w:val="Ttulo1"/>
      </w:pPr>
      <w:r>
        <w:t>CONCLUSÕES</w:t>
      </w:r>
    </w:p>
    <w:p w14:paraId="1DFDC7E3" w14:textId="77777777" w:rsidR="00121E91" w:rsidRDefault="00121E91" w:rsidP="00121E9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97D108" w14:textId="2733AAA0" w:rsidR="00B93AFA" w:rsidRPr="002D2197" w:rsidRDefault="00F43C79" w:rsidP="00D5319E">
      <w:pPr>
        <w:pStyle w:val="NORMAL0"/>
        <w:spacing w:line="480" w:lineRule="auto"/>
      </w:pPr>
      <w:r w:rsidRPr="002D2197">
        <w:t xml:space="preserve">Do conjunto de amostras de água de nascentes utilizadas para análise, 17% </w:t>
      </w:r>
      <w:r w:rsidR="00B93AFA" w:rsidRPr="002D2197">
        <w:t xml:space="preserve">delas </w:t>
      </w:r>
      <w:r w:rsidRPr="002D2197">
        <w:t xml:space="preserve">foram desconsideradas na análise estatística por sua correlação espacial ou química com </w:t>
      </w:r>
      <w:r w:rsidR="00B93AFA" w:rsidRPr="002D2197">
        <w:t>impactos negativos de atividades da cadeia produtiva de carvão.</w:t>
      </w:r>
    </w:p>
    <w:p w14:paraId="35EEB5AC" w14:textId="491D4254" w:rsidR="002126F0" w:rsidRDefault="00D34A9E" w:rsidP="00D5319E">
      <w:pPr>
        <w:pStyle w:val="NORMAL0"/>
        <w:spacing w:line="480" w:lineRule="auto"/>
      </w:pPr>
      <w:r w:rsidRPr="002D2197">
        <w:t>Na</w:t>
      </w:r>
      <w:r w:rsidR="00F43C79" w:rsidRPr="002D2197">
        <w:t xml:space="preserve"> análise dos dados, aplicando-se a metodologia do EDA, </w:t>
      </w:r>
      <w:r w:rsidR="002126F0" w:rsidRPr="002D2197">
        <w:t xml:space="preserve">ficou atestado que valores para pH encontrados dentro do intervalo que vai de 5,50 até 7,90 podem ser considerados </w:t>
      </w:r>
      <w:r w:rsidR="002D2197" w:rsidRPr="002D2197">
        <w:t>como naturais</w:t>
      </w:r>
      <w:r w:rsidR="002126F0" w:rsidRPr="002D2197">
        <w:t xml:space="preserve"> para a </w:t>
      </w:r>
      <w:r w:rsidR="002D2197" w:rsidRPr="002D2197">
        <w:t>água subterrânea</w:t>
      </w:r>
      <w:r w:rsidR="002126F0" w:rsidRPr="002D2197">
        <w:t xml:space="preserve"> no município. Os metais ferro e manganês, apresentaram concentrações </w:t>
      </w:r>
      <w:r w:rsidR="002D2197" w:rsidRPr="002D2197">
        <w:t>superiores</w:t>
      </w:r>
      <w:r w:rsidR="002126F0" w:rsidRPr="002D2197">
        <w:t xml:space="preserve"> de </w:t>
      </w:r>
      <w:r w:rsidR="006B1D27" w:rsidRPr="002D2197">
        <w:rPr>
          <w:i/>
        </w:rPr>
        <w:t>background</w:t>
      </w:r>
      <w:r w:rsidR="002126F0" w:rsidRPr="002D2197">
        <w:t xml:space="preserve"> de 2,58 e 0,30mg/L respectivamente. </w:t>
      </w:r>
      <w:r w:rsidR="002D2197" w:rsidRPr="002D2197">
        <w:t xml:space="preserve">Já o </w:t>
      </w:r>
      <w:r w:rsidR="002126F0" w:rsidRPr="002D2197">
        <w:t xml:space="preserve">sulfato, </w:t>
      </w:r>
      <w:r w:rsidR="002D2197" w:rsidRPr="002D2197">
        <w:t xml:space="preserve">apresentou como </w:t>
      </w:r>
      <w:r w:rsidR="002D2197" w:rsidRPr="00CE1923">
        <w:rPr>
          <w:i/>
        </w:rPr>
        <w:t>background</w:t>
      </w:r>
      <w:r w:rsidR="002D2197" w:rsidRPr="002D2197">
        <w:t xml:space="preserve"> para a água subterrânea o</w:t>
      </w:r>
      <w:r w:rsidR="002126F0" w:rsidRPr="002D2197">
        <w:t xml:space="preserve"> intervalo </w:t>
      </w:r>
      <w:r w:rsidR="002D2197" w:rsidRPr="002D2197">
        <w:t xml:space="preserve">de concentrações </w:t>
      </w:r>
      <w:r w:rsidR="002126F0" w:rsidRPr="002D2197">
        <w:t>entre 2,00 e 20,00mg/L</w:t>
      </w:r>
      <w:r w:rsidR="002D2197" w:rsidRPr="002D2197">
        <w:t>.</w:t>
      </w:r>
      <w:r w:rsidR="002126F0">
        <w:t xml:space="preserve"> </w:t>
      </w:r>
    </w:p>
    <w:p w14:paraId="30B861D9" w14:textId="69C4E415" w:rsidR="00FA4191" w:rsidRDefault="002D2197" w:rsidP="009C365A">
      <w:pPr>
        <w:pStyle w:val="NORMAL0"/>
        <w:spacing w:line="480" w:lineRule="auto"/>
      </w:pPr>
      <w:r>
        <w:lastRenderedPageBreak/>
        <w:t>No trabalho</w:t>
      </w:r>
      <w:r w:rsidR="002126F0">
        <w:t xml:space="preserve"> ficaram evidentes questões importantíssimas em se tratando da </w:t>
      </w:r>
      <w:r>
        <w:t>característica natural das águas subterrâneas</w:t>
      </w:r>
      <w:r w:rsidR="002126F0">
        <w:t xml:space="preserve"> no território da cidade de Criciúma, a mais importante, é o fato de que as concentrações dos parâmetros avaliados em muitos casos podem naturalmente suplantar limites </w:t>
      </w:r>
      <w:r w:rsidR="008A0168">
        <w:t>legalmente regulamentados</w:t>
      </w:r>
      <w:r w:rsidR="002126F0">
        <w:t>, o que indica que mesmo água</w:t>
      </w:r>
      <w:r w:rsidR="009C365A">
        <w:t>s</w:t>
      </w:r>
      <w:r w:rsidR="002126F0">
        <w:t xml:space="preserve"> sem impacto antrópico podem encontrar-se impróprias para uso. Este fato se faz notável no caso do metal mangan</w:t>
      </w:r>
      <w:r w:rsidR="006B0C26">
        <w:t xml:space="preserve">ês, que apresenta uma concentração de </w:t>
      </w:r>
      <w:r w:rsidR="006B1D27" w:rsidRPr="006B1D27">
        <w:rPr>
          <w:i/>
        </w:rPr>
        <w:t>background</w:t>
      </w:r>
      <w:r w:rsidR="006B0C26">
        <w:t xml:space="preserve"> superior três vezes ao preconizado pela </w:t>
      </w:r>
      <w:r w:rsidR="00C9354A">
        <w:t>P</w:t>
      </w:r>
      <w:r w:rsidR="006B0C26">
        <w:t xml:space="preserve">ortaria </w:t>
      </w:r>
      <w:r w:rsidR="00280E86">
        <w:t>de consolidação</w:t>
      </w:r>
      <w:r w:rsidR="00C9354A">
        <w:t xml:space="preserve"> </w:t>
      </w:r>
      <w:r w:rsidR="00280E86">
        <w:t xml:space="preserve">MS </w:t>
      </w:r>
      <w:r w:rsidR="00C9354A">
        <w:t>n.</w:t>
      </w:r>
      <w:r w:rsidR="006B0C26">
        <w:t xml:space="preserve"> </w:t>
      </w:r>
      <w:r w:rsidR="00280E86">
        <w:t>5/2017</w:t>
      </w:r>
      <w:r w:rsidR="006B0C26">
        <w:t xml:space="preserve"> que versa sobre potabilidade de água.</w:t>
      </w:r>
    </w:p>
    <w:p w14:paraId="3502B0A6" w14:textId="77777777" w:rsidR="00FA4191" w:rsidRDefault="00FA4191" w:rsidP="009C365A">
      <w:pPr>
        <w:pStyle w:val="NORMAL0"/>
        <w:spacing w:line="480" w:lineRule="auto"/>
      </w:pPr>
    </w:p>
    <w:p w14:paraId="7D5BC910" w14:textId="77777777" w:rsidR="00066755" w:rsidRDefault="00066755" w:rsidP="009C365A">
      <w:pPr>
        <w:pStyle w:val="NORMAL0"/>
        <w:spacing w:line="480" w:lineRule="auto"/>
      </w:pPr>
    </w:p>
    <w:p w14:paraId="1D93E248" w14:textId="77777777" w:rsidR="00066755" w:rsidRDefault="00066755" w:rsidP="009C365A">
      <w:pPr>
        <w:pStyle w:val="NORMAL0"/>
        <w:spacing w:line="480" w:lineRule="auto"/>
      </w:pPr>
    </w:p>
    <w:p w14:paraId="7F2B96B7" w14:textId="77777777" w:rsidR="00066755" w:rsidRDefault="00066755" w:rsidP="009C365A">
      <w:pPr>
        <w:pStyle w:val="NORMAL0"/>
        <w:spacing w:line="480" w:lineRule="auto"/>
      </w:pPr>
    </w:p>
    <w:p w14:paraId="1265EB0F" w14:textId="77777777" w:rsidR="00066755" w:rsidRDefault="00066755" w:rsidP="009C365A">
      <w:pPr>
        <w:pStyle w:val="NORMAL0"/>
        <w:spacing w:line="480" w:lineRule="auto"/>
      </w:pPr>
    </w:p>
    <w:p w14:paraId="180D5F08" w14:textId="77777777" w:rsidR="00066755" w:rsidRDefault="00066755" w:rsidP="009C365A">
      <w:pPr>
        <w:pStyle w:val="NORMAL0"/>
        <w:spacing w:line="480" w:lineRule="auto"/>
      </w:pPr>
    </w:p>
    <w:p w14:paraId="77133BF0" w14:textId="77777777" w:rsidR="00066755" w:rsidRDefault="00066755" w:rsidP="009C365A">
      <w:pPr>
        <w:pStyle w:val="NORMAL0"/>
        <w:spacing w:line="480" w:lineRule="auto"/>
      </w:pPr>
    </w:p>
    <w:p w14:paraId="1D8269B9" w14:textId="77777777" w:rsidR="00066755" w:rsidRDefault="00066755" w:rsidP="009C365A">
      <w:pPr>
        <w:pStyle w:val="NORMAL0"/>
        <w:spacing w:line="480" w:lineRule="auto"/>
      </w:pPr>
    </w:p>
    <w:p w14:paraId="77C22057" w14:textId="77777777" w:rsidR="00066755" w:rsidRDefault="00066755" w:rsidP="009C365A">
      <w:pPr>
        <w:pStyle w:val="NORMAL0"/>
        <w:spacing w:line="480" w:lineRule="auto"/>
      </w:pPr>
    </w:p>
    <w:p w14:paraId="6F2CCA7B" w14:textId="77777777" w:rsidR="00066755" w:rsidRDefault="00066755" w:rsidP="009C365A">
      <w:pPr>
        <w:pStyle w:val="NORMAL0"/>
        <w:spacing w:line="480" w:lineRule="auto"/>
      </w:pPr>
    </w:p>
    <w:p w14:paraId="1BAC372F" w14:textId="77777777" w:rsidR="00066755" w:rsidRDefault="00066755" w:rsidP="009C365A">
      <w:pPr>
        <w:pStyle w:val="NORMAL0"/>
        <w:spacing w:line="480" w:lineRule="auto"/>
      </w:pPr>
    </w:p>
    <w:p w14:paraId="5EF13272" w14:textId="77777777" w:rsidR="00066755" w:rsidRDefault="00066755" w:rsidP="009C365A">
      <w:pPr>
        <w:pStyle w:val="NORMAL0"/>
        <w:spacing w:line="480" w:lineRule="auto"/>
      </w:pPr>
    </w:p>
    <w:p w14:paraId="63DC97E3" w14:textId="77777777" w:rsidR="00066755" w:rsidRDefault="00066755" w:rsidP="009C365A">
      <w:pPr>
        <w:pStyle w:val="NORMAL0"/>
        <w:spacing w:line="480" w:lineRule="auto"/>
      </w:pPr>
    </w:p>
    <w:p w14:paraId="1533257A" w14:textId="77777777" w:rsidR="00066755" w:rsidRDefault="00066755" w:rsidP="009C365A">
      <w:pPr>
        <w:pStyle w:val="NORMAL0"/>
        <w:spacing w:line="480" w:lineRule="auto"/>
      </w:pPr>
    </w:p>
    <w:p w14:paraId="51F647D9" w14:textId="77777777" w:rsidR="00066755" w:rsidRDefault="00066755" w:rsidP="009C365A">
      <w:pPr>
        <w:pStyle w:val="NORMAL0"/>
        <w:spacing w:line="480" w:lineRule="auto"/>
      </w:pPr>
    </w:p>
    <w:p w14:paraId="2DD2A7AF" w14:textId="77777777" w:rsidR="00066755" w:rsidRDefault="00066755" w:rsidP="009C365A">
      <w:pPr>
        <w:pStyle w:val="NORMAL0"/>
        <w:spacing w:line="480" w:lineRule="auto"/>
      </w:pPr>
    </w:p>
    <w:p w14:paraId="33457314" w14:textId="77777777" w:rsidR="00066755" w:rsidRDefault="00066755" w:rsidP="009C365A">
      <w:pPr>
        <w:pStyle w:val="NORMAL0"/>
        <w:spacing w:line="480" w:lineRule="auto"/>
      </w:pPr>
    </w:p>
    <w:p w14:paraId="75F8DDA2" w14:textId="77777777" w:rsidR="00FA4191" w:rsidRPr="002635D1" w:rsidRDefault="00FA4191" w:rsidP="00FA41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lastRenderedPageBreak/>
        <w:t>REFERÊNCIAS</w:t>
      </w:r>
    </w:p>
    <w:p w14:paraId="675B81D1" w14:textId="77777777" w:rsidR="00FA4191" w:rsidRPr="002635D1" w:rsidRDefault="00FA4191" w:rsidP="00FA419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901368" w14:textId="77777777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 xml:space="preserve">ALEXANDRE, N. Z. Influência da mineração de carvão na qualidade das águas superficiais – Revisão Bibliográfica. </w:t>
      </w:r>
      <w:r w:rsidRPr="002635D1">
        <w:rPr>
          <w:rFonts w:ascii="Arial" w:hAnsi="Arial" w:cs="Arial"/>
          <w:i/>
          <w:sz w:val="24"/>
          <w:szCs w:val="24"/>
        </w:rPr>
        <w:t>Revista Tecnologia e Ambiente</w:t>
      </w:r>
      <w:r w:rsidRPr="002635D1">
        <w:rPr>
          <w:rFonts w:ascii="Arial" w:hAnsi="Arial" w:cs="Arial"/>
          <w:sz w:val="24"/>
          <w:szCs w:val="24"/>
        </w:rPr>
        <w:t>, v. 2, n. 1, p. 53-61, 1996.</w:t>
      </w:r>
    </w:p>
    <w:p w14:paraId="7E454682" w14:textId="1B20C9E9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>BRASIL. Decreto n 85.206 de 25 de setembro de 1980. D.O.U. de 25/10/1980. Disponível em: http://www2.camara.leg.br/legin/fed/decret/1980-1987/decreto-85206-25-setembro-1980- -434622-publicacaooriginal-1-pe.html</w:t>
      </w:r>
      <w:r w:rsidR="002635D1">
        <w:rPr>
          <w:rFonts w:ascii="Arial" w:hAnsi="Arial" w:cs="Arial"/>
          <w:sz w:val="24"/>
          <w:szCs w:val="24"/>
        </w:rPr>
        <w:t>.</w:t>
      </w:r>
      <w:r w:rsidRPr="002635D1">
        <w:rPr>
          <w:rFonts w:ascii="Arial" w:hAnsi="Arial" w:cs="Arial"/>
          <w:sz w:val="24"/>
          <w:szCs w:val="24"/>
        </w:rPr>
        <w:t xml:space="preserve"> Acesso em: 13 fev. 2019.</w:t>
      </w:r>
    </w:p>
    <w:p w14:paraId="42AEDF3D" w14:textId="77777777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>BRASIL. Conselho Nacional de Meio Ambiente – CONAMA. Resolução CONAMA n°357. Dispõe sobre a classificação dos corpos de água e diretrizes ambientais para o seu enquadramento, bem como estabelece as condições e padrões de lançamento de efluentes, e dá outras providências. Diário Oficial da União de 17 de março de 2005, págs. 58-63, Brasília.</w:t>
      </w:r>
    </w:p>
    <w:p w14:paraId="49B7044C" w14:textId="088E184A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 xml:space="preserve">BRASIL. Conselho Nacional de Meio Ambiente – CONAMA. Resolução CONAMA n°396. Dispõe sobre a classificação e diretrizes ambientais para o enquadramento das águas subterrâneas e dá outras providências. </w:t>
      </w:r>
      <w:r w:rsidR="00066755" w:rsidRPr="002635D1">
        <w:rPr>
          <w:rFonts w:ascii="Arial" w:hAnsi="Arial" w:cs="Arial"/>
          <w:sz w:val="24"/>
          <w:szCs w:val="24"/>
        </w:rPr>
        <w:t>Diário Oficial da União</w:t>
      </w:r>
      <w:r w:rsidRPr="002635D1">
        <w:rPr>
          <w:rFonts w:ascii="Arial" w:hAnsi="Arial" w:cs="Arial"/>
          <w:sz w:val="24"/>
          <w:szCs w:val="24"/>
        </w:rPr>
        <w:t xml:space="preserve"> nº 66, de 7 de abril de 2008, Seção 1, páginas 64-68, Brasília.</w:t>
      </w:r>
    </w:p>
    <w:p w14:paraId="0D2CA8FC" w14:textId="77777777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>BRASIL. Conselho Nacional de Meio Ambiente – CONAMA. Resolução n° 420. Dispõe sobre critérios e valores orientadores de qualidade do solo quanto à presença de substâncias químicas e estabelece diretrizes para o gerenciamento ambiental de áreas contaminadas por essas substâncias em decorrência de atividades antrópicas. Diário Oficial da União de 30 de dezembro de 2009, Brasília.</w:t>
      </w:r>
    </w:p>
    <w:p w14:paraId="055B8911" w14:textId="77777777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>BRASIL. Conselho Nacional de Meio Ambiente – CONAMA. Resolução n° 454. Estabelece as diretrizes gerais e os procedimentos referenciais para o gerenciamento do material a ser dragado em águas sob jurisdição nacional. Diário Oficial da União de 01 de novembro de 2012, Brasília.</w:t>
      </w:r>
    </w:p>
    <w:p w14:paraId="23A60986" w14:textId="3AAAA895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 xml:space="preserve">BRASIL, Ministério da Saúde. Portaria </w:t>
      </w:r>
      <w:r w:rsidR="002635D1">
        <w:rPr>
          <w:rFonts w:ascii="Arial" w:hAnsi="Arial" w:cs="Arial"/>
          <w:sz w:val="24"/>
          <w:szCs w:val="24"/>
        </w:rPr>
        <w:t>de consolidação</w:t>
      </w:r>
      <w:r w:rsidRPr="002635D1">
        <w:rPr>
          <w:rFonts w:ascii="Arial" w:hAnsi="Arial" w:cs="Arial"/>
          <w:sz w:val="24"/>
          <w:szCs w:val="24"/>
        </w:rPr>
        <w:t xml:space="preserve"> Nº 5. Consolidação das normas sobre as ações e os serviços de saúde do Sistema Único de Saúde. DOU de 5 de setembro de 2017, Brasília.</w:t>
      </w:r>
    </w:p>
    <w:p w14:paraId="3C13280B" w14:textId="77777777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>CAMPOS, M.L.; ALMEIDA, J.A.; SOUZA, L.S. Avaliação de três áreas de solo construído após mineração de carvão a céu aberto em Lauro Müller, Santa Catarina. </w:t>
      </w:r>
      <w:r w:rsidRPr="002635D1">
        <w:rPr>
          <w:rFonts w:ascii="Arial" w:hAnsi="Arial" w:cs="Arial"/>
          <w:i/>
          <w:sz w:val="24"/>
          <w:szCs w:val="24"/>
        </w:rPr>
        <w:t>Revista Brasileira de Ciência do Solo</w:t>
      </w:r>
      <w:r w:rsidRPr="002635D1">
        <w:rPr>
          <w:rFonts w:ascii="Arial" w:hAnsi="Arial" w:cs="Arial"/>
          <w:sz w:val="24"/>
          <w:szCs w:val="24"/>
        </w:rPr>
        <w:t>, v.27, p.1123-1137, 2003. </w:t>
      </w:r>
    </w:p>
    <w:p w14:paraId="45F3FB06" w14:textId="3F109D44" w:rsidR="00FA4191" w:rsidRPr="00E80989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E80989">
        <w:rPr>
          <w:rFonts w:ascii="Arial" w:hAnsi="Arial" w:cs="Arial"/>
          <w:sz w:val="24"/>
          <w:szCs w:val="24"/>
          <w:lang w:val="en-US"/>
        </w:rPr>
        <w:t>CHIPRÉS, J.A., CASTRO-LARRAGOITIA B.A.J., MONROY, M.G.,.</w:t>
      </w:r>
      <w:r w:rsidRPr="002635D1">
        <w:rPr>
          <w:rFonts w:ascii="Arial" w:hAnsi="Arial" w:cs="Arial"/>
          <w:sz w:val="24"/>
          <w:szCs w:val="24"/>
          <w:lang w:val="en-US"/>
        </w:rPr>
        <w:t xml:space="preserve">Exploratory and spatial data analysis (EDA–SDA) for determining regional </w:t>
      </w:r>
      <w:r w:rsidRPr="002635D1">
        <w:rPr>
          <w:rFonts w:ascii="Arial" w:hAnsi="Arial" w:cs="Arial"/>
          <w:i/>
          <w:sz w:val="24"/>
          <w:szCs w:val="24"/>
          <w:lang w:val="en-US"/>
        </w:rPr>
        <w:t>background</w:t>
      </w:r>
      <w:r w:rsidRPr="002635D1">
        <w:rPr>
          <w:rFonts w:ascii="Arial" w:hAnsi="Arial" w:cs="Arial"/>
          <w:sz w:val="24"/>
          <w:szCs w:val="24"/>
          <w:lang w:val="en-US"/>
        </w:rPr>
        <w:t xml:space="preserve"> levels and anomalies of potentially toxic elements in soils from Catorce–Matehuala, Mexico. </w:t>
      </w:r>
      <w:r w:rsidRPr="00E80989">
        <w:rPr>
          <w:rFonts w:ascii="Arial" w:hAnsi="Arial" w:cs="Arial"/>
          <w:i/>
          <w:sz w:val="24"/>
          <w:szCs w:val="24"/>
        </w:rPr>
        <w:t>Applied Geochemistry</w:t>
      </w:r>
      <w:r w:rsidRPr="00E80989">
        <w:rPr>
          <w:rFonts w:ascii="Arial" w:hAnsi="Arial" w:cs="Arial"/>
          <w:sz w:val="24"/>
          <w:szCs w:val="24"/>
        </w:rPr>
        <w:t>, v. 24, p. 1579-1589</w:t>
      </w:r>
      <w:r w:rsidR="00E80989" w:rsidRPr="00E80989">
        <w:rPr>
          <w:rFonts w:ascii="Arial" w:hAnsi="Arial" w:cs="Arial"/>
          <w:sz w:val="24"/>
          <w:szCs w:val="24"/>
        </w:rPr>
        <w:t xml:space="preserve">, </w:t>
      </w:r>
      <w:r w:rsidR="00E80989" w:rsidRPr="00E80989">
        <w:rPr>
          <w:rFonts w:ascii="Arial" w:hAnsi="Arial" w:cs="Arial"/>
          <w:sz w:val="24"/>
          <w:szCs w:val="24"/>
        </w:rPr>
        <w:t>2009</w:t>
      </w:r>
      <w:r w:rsidR="00E80989" w:rsidRPr="00E80989">
        <w:rPr>
          <w:rFonts w:ascii="Arial" w:hAnsi="Arial" w:cs="Arial"/>
          <w:sz w:val="24"/>
          <w:szCs w:val="24"/>
        </w:rPr>
        <w:t>.</w:t>
      </w:r>
    </w:p>
    <w:p w14:paraId="3BF1E488" w14:textId="2901CDAD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>DIAS, A.A. Geologia do Município de Criciúma, SC. Porto Alegre: CPRM. (Série Cartas Temáticas – Porto Alegre, v. 23). (Programa de Informações Básicas para a Gestão Territorial de Santa Catarina)</w:t>
      </w:r>
      <w:r w:rsidR="00E80989">
        <w:rPr>
          <w:rFonts w:ascii="Arial" w:hAnsi="Arial" w:cs="Arial"/>
          <w:sz w:val="24"/>
          <w:szCs w:val="24"/>
        </w:rPr>
        <w:t>,</w:t>
      </w:r>
      <w:r w:rsidR="00E80989" w:rsidRPr="00E80989">
        <w:rPr>
          <w:rFonts w:ascii="Arial" w:hAnsi="Arial" w:cs="Arial"/>
          <w:sz w:val="24"/>
          <w:szCs w:val="24"/>
        </w:rPr>
        <w:t xml:space="preserve"> </w:t>
      </w:r>
      <w:r w:rsidR="00E80989" w:rsidRPr="002635D1">
        <w:rPr>
          <w:rFonts w:ascii="Arial" w:hAnsi="Arial" w:cs="Arial"/>
          <w:sz w:val="24"/>
          <w:szCs w:val="24"/>
        </w:rPr>
        <w:t>1995</w:t>
      </w:r>
      <w:r w:rsidR="00E80989">
        <w:rPr>
          <w:rFonts w:ascii="Arial" w:hAnsi="Arial" w:cs="Arial"/>
          <w:sz w:val="24"/>
          <w:szCs w:val="24"/>
        </w:rPr>
        <w:t>.</w:t>
      </w:r>
    </w:p>
    <w:p w14:paraId="49D8F698" w14:textId="77777777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 xml:space="preserve">GALATTO, S.L.; ALEXANDRE, N.Z.; PEREIRA, J.L.; PATRÍCIO, T.B.; VASSILIOU, M.; FERNANDES, A.N.; FRASSETTO, J.; VALVASSORI, M.L. Diagnóstico ambiental de nascentes no município de Criciúma, Santa Catarina. </w:t>
      </w:r>
      <w:r w:rsidRPr="00FB1669">
        <w:rPr>
          <w:rFonts w:ascii="Arial" w:hAnsi="Arial" w:cs="Arial"/>
          <w:i/>
          <w:sz w:val="24"/>
          <w:szCs w:val="24"/>
        </w:rPr>
        <w:t>Revista de Ciências Ambientais</w:t>
      </w:r>
      <w:r w:rsidRPr="002635D1">
        <w:rPr>
          <w:rFonts w:ascii="Arial" w:hAnsi="Arial" w:cs="Arial"/>
          <w:sz w:val="24"/>
          <w:szCs w:val="24"/>
        </w:rPr>
        <w:t>, v.5, p.39-56, 2011.</w:t>
      </w:r>
    </w:p>
    <w:p w14:paraId="2379001C" w14:textId="48D06980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2635D1">
        <w:rPr>
          <w:rFonts w:ascii="Arial" w:hAnsi="Arial" w:cs="Arial"/>
          <w:sz w:val="24"/>
          <w:szCs w:val="24"/>
        </w:rPr>
        <w:t>GAPLAN/SC. Atlas de Santa Catarina. Rio de Janeiro: Aerofoto</w:t>
      </w:r>
      <w:r w:rsidR="00FB1669">
        <w:rPr>
          <w:rFonts w:ascii="Arial" w:hAnsi="Arial" w:cs="Arial"/>
          <w:sz w:val="24"/>
          <w:szCs w:val="24"/>
        </w:rPr>
        <w:t>s</w:t>
      </w:r>
      <w:r w:rsidRPr="002635D1">
        <w:rPr>
          <w:rFonts w:ascii="Arial" w:hAnsi="Arial" w:cs="Arial"/>
          <w:sz w:val="24"/>
          <w:szCs w:val="24"/>
        </w:rPr>
        <w:t xml:space="preserve"> Cruzeiro, 1986. </w:t>
      </w:r>
      <w:r w:rsidRPr="002635D1">
        <w:rPr>
          <w:rFonts w:ascii="Arial" w:hAnsi="Arial" w:cs="Arial"/>
          <w:sz w:val="24"/>
          <w:szCs w:val="24"/>
          <w:lang w:val="en-US"/>
        </w:rPr>
        <w:t>173p.</w:t>
      </w:r>
    </w:p>
    <w:p w14:paraId="7405F24F" w14:textId="06EC25E0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  <w:lang w:val="en-US"/>
        </w:rPr>
        <w:lastRenderedPageBreak/>
        <w:t>GOMO, M, VERMEULEN, D</w:t>
      </w:r>
      <w:proofErr w:type="gramStart"/>
      <w:r w:rsidR="00E80989">
        <w:rPr>
          <w:rFonts w:ascii="Arial" w:hAnsi="Arial" w:cs="Arial"/>
          <w:sz w:val="24"/>
          <w:szCs w:val="24"/>
          <w:lang w:val="en-US"/>
        </w:rPr>
        <w:t>,</w:t>
      </w:r>
      <w:r w:rsidRPr="002635D1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Pr="002635D1">
        <w:rPr>
          <w:rFonts w:ascii="Arial" w:hAnsi="Arial" w:cs="Arial"/>
          <w:sz w:val="24"/>
          <w:szCs w:val="24"/>
          <w:lang w:val="en-US"/>
        </w:rPr>
        <w:t xml:space="preserve"> Investigation of hydrogeochemical processes in groundwater resources located </w:t>
      </w:r>
      <w:proofErr w:type="gramStart"/>
      <w:r w:rsidRPr="002635D1">
        <w:rPr>
          <w:rFonts w:ascii="Arial" w:hAnsi="Arial" w:cs="Arial"/>
          <w:sz w:val="24"/>
          <w:szCs w:val="24"/>
          <w:lang w:val="en-US"/>
        </w:rPr>
        <w:t>in the vicinity of</w:t>
      </w:r>
      <w:proofErr w:type="gramEnd"/>
      <w:r w:rsidRPr="002635D1">
        <w:rPr>
          <w:rFonts w:ascii="Arial" w:hAnsi="Arial" w:cs="Arial"/>
          <w:sz w:val="24"/>
          <w:szCs w:val="24"/>
          <w:lang w:val="en-US"/>
        </w:rPr>
        <w:t xml:space="preserve"> a mine process water dam. </w:t>
      </w:r>
      <w:r w:rsidRPr="00E80989">
        <w:rPr>
          <w:rFonts w:ascii="Arial" w:hAnsi="Arial" w:cs="Arial"/>
          <w:i/>
          <w:sz w:val="24"/>
          <w:szCs w:val="24"/>
        </w:rPr>
        <w:t>Journal of African Earth Sciences</w:t>
      </w:r>
      <w:r w:rsidR="00E80989">
        <w:rPr>
          <w:rFonts w:ascii="Arial" w:hAnsi="Arial" w:cs="Arial"/>
          <w:sz w:val="24"/>
          <w:szCs w:val="24"/>
        </w:rPr>
        <w:t xml:space="preserve">, v. 86, p. 119-128, </w:t>
      </w:r>
      <w:r w:rsidR="00E80989" w:rsidRPr="002635D1">
        <w:rPr>
          <w:rFonts w:ascii="Arial" w:hAnsi="Arial" w:cs="Arial"/>
          <w:sz w:val="24"/>
          <w:szCs w:val="24"/>
          <w:lang w:val="en-US"/>
        </w:rPr>
        <w:t>2013</w:t>
      </w:r>
      <w:r w:rsidR="00E80989">
        <w:rPr>
          <w:rFonts w:ascii="Arial" w:hAnsi="Arial" w:cs="Arial"/>
          <w:sz w:val="24"/>
          <w:szCs w:val="24"/>
          <w:lang w:val="en-US"/>
        </w:rPr>
        <w:t>.</w:t>
      </w:r>
    </w:p>
    <w:p w14:paraId="232DAD1F" w14:textId="232D3F13" w:rsidR="00FA4191" w:rsidRPr="002635D1" w:rsidRDefault="00FA4191" w:rsidP="00FA419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2635D1">
        <w:rPr>
          <w:rFonts w:ascii="Arial" w:eastAsia="Times New Roman" w:hAnsi="Arial" w:cs="Arial"/>
          <w:sz w:val="24"/>
          <w:szCs w:val="24"/>
          <w:lang w:eastAsia="pt-BR"/>
        </w:rPr>
        <w:t xml:space="preserve">IPAT/UNESC, Instituto de Pesquisas Ambientais e Tecnológicas - Universidade do Extremo Sul Catarinense. Projeto Nascentes: 1ª Etapa, Município de Criciúma. Relatório Final. Criciúma, </w:t>
      </w:r>
      <w:r w:rsidR="00E80989" w:rsidRPr="002635D1">
        <w:rPr>
          <w:rFonts w:ascii="Arial" w:eastAsia="Times New Roman" w:hAnsi="Arial" w:cs="Arial"/>
          <w:sz w:val="24"/>
          <w:szCs w:val="24"/>
          <w:lang w:eastAsia="pt-BR"/>
        </w:rPr>
        <w:t>2010</w:t>
      </w:r>
      <w:r w:rsidR="00E80989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2635D1">
        <w:rPr>
          <w:rFonts w:ascii="Arial" w:eastAsia="Times New Roman" w:hAnsi="Arial" w:cs="Arial"/>
          <w:sz w:val="24"/>
          <w:szCs w:val="24"/>
          <w:lang w:eastAsia="pt-BR"/>
        </w:rPr>
        <w:t>78 p.</w:t>
      </w:r>
    </w:p>
    <w:p w14:paraId="2A5751CF" w14:textId="77777777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  <w:lang w:val="en-US"/>
        </w:rPr>
        <w:t xml:space="preserve">LEPELTIER, C. A simplified treatment of geochemical data by graphical representation. </w:t>
      </w:r>
      <w:r w:rsidRPr="002635D1">
        <w:rPr>
          <w:rFonts w:ascii="Arial" w:hAnsi="Arial" w:cs="Arial"/>
          <w:sz w:val="24"/>
          <w:szCs w:val="24"/>
        </w:rPr>
        <w:t>Economic Geology, v. 64, p. 538-550, 1969.</w:t>
      </w:r>
    </w:p>
    <w:p w14:paraId="72EA39FA" w14:textId="0DA18F72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2635D1">
        <w:rPr>
          <w:rFonts w:ascii="Arial" w:hAnsi="Arial" w:cs="Arial"/>
          <w:sz w:val="24"/>
          <w:szCs w:val="24"/>
        </w:rPr>
        <w:t xml:space="preserve">MACHADO, J. L. F. Mapa Hidrogeológico do Estado de Santa Catarina. Escala 1:500.000. Programa de Disponibilidade Hídrica do Brasil. CPRM. Porto Alegre. </w:t>
      </w:r>
      <w:proofErr w:type="gramStart"/>
      <w:r w:rsidRPr="002635D1">
        <w:rPr>
          <w:rFonts w:ascii="Arial" w:hAnsi="Arial" w:cs="Arial"/>
          <w:sz w:val="24"/>
          <w:szCs w:val="24"/>
          <w:lang w:val="en-US"/>
        </w:rPr>
        <w:t>1</w:t>
      </w:r>
      <w:proofErr w:type="gramEnd"/>
      <w:r w:rsidRPr="002635D1">
        <w:rPr>
          <w:rFonts w:ascii="Arial" w:hAnsi="Arial" w:cs="Arial"/>
          <w:sz w:val="24"/>
          <w:szCs w:val="24"/>
          <w:lang w:val="en-US"/>
        </w:rPr>
        <w:t xml:space="preserve"> mapa.</w:t>
      </w:r>
      <w:r w:rsidR="00E80989" w:rsidRPr="00E80989">
        <w:rPr>
          <w:rFonts w:ascii="Arial" w:hAnsi="Arial" w:cs="Arial"/>
          <w:sz w:val="24"/>
          <w:szCs w:val="24"/>
        </w:rPr>
        <w:t xml:space="preserve"> </w:t>
      </w:r>
      <w:r w:rsidR="00E80989" w:rsidRPr="002635D1">
        <w:rPr>
          <w:rFonts w:ascii="Arial" w:hAnsi="Arial" w:cs="Arial"/>
          <w:sz w:val="24"/>
          <w:szCs w:val="24"/>
        </w:rPr>
        <w:t>2013</w:t>
      </w:r>
      <w:r w:rsidR="00E80989">
        <w:rPr>
          <w:rFonts w:ascii="Arial" w:hAnsi="Arial" w:cs="Arial"/>
          <w:sz w:val="24"/>
          <w:szCs w:val="24"/>
        </w:rPr>
        <w:t>.</w:t>
      </w:r>
    </w:p>
    <w:p w14:paraId="1EBF2C79" w14:textId="77777777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  <w:lang w:val="en-US"/>
        </w:rPr>
        <w:t xml:space="preserve">MATSCHULLAT, J., OTTENSTEIN, R., REIMANN, C. Geochemical </w:t>
      </w:r>
      <w:r w:rsidRPr="00E80989">
        <w:rPr>
          <w:rFonts w:ascii="Arial" w:hAnsi="Arial" w:cs="Arial"/>
          <w:sz w:val="24"/>
          <w:szCs w:val="24"/>
          <w:lang w:val="en-US"/>
        </w:rPr>
        <w:t>background</w:t>
      </w:r>
      <w:r w:rsidRPr="002635D1">
        <w:rPr>
          <w:rFonts w:ascii="Arial" w:hAnsi="Arial" w:cs="Arial"/>
          <w:sz w:val="24"/>
          <w:szCs w:val="24"/>
          <w:lang w:val="en-US"/>
        </w:rPr>
        <w:t xml:space="preserve"> - can we calculate it. </w:t>
      </w:r>
      <w:r w:rsidRPr="00E80989">
        <w:rPr>
          <w:rFonts w:ascii="Arial" w:hAnsi="Arial" w:cs="Arial"/>
          <w:i/>
          <w:sz w:val="24"/>
          <w:szCs w:val="24"/>
        </w:rPr>
        <w:t>Environmental Geology</w:t>
      </w:r>
      <w:r w:rsidRPr="002635D1">
        <w:rPr>
          <w:rFonts w:ascii="Arial" w:hAnsi="Arial" w:cs="Arial"/>
          <w:sz w:val="24"/>
          <w:szCs w:val="24"/>
        </w:rPr>
        <w:t>, v. 39, p. 990-1000, 2000</w:t>
      </w:r>
    </w:p>
    <w:p w14:paraId="2719F327" w14:textId="77777777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 xml:space="preserve">RAVAZZOLLI, Claúdia. A problemática ambiental do carvão em Santa Catarina: sua evolução até os termos de ajustamento de conduta vigente entre os anos de 2005 e 2010. </w:t>
      </w:r>
      <w:r w:rsidRPr="00E80989">
        <w:rPr>
          <w:rFonts w:ascii="Arial" w:hAnsi="Arial" w:cs="Arial"/>
          <w:i/>
          <w:sz w:val="24"/>
          <w:szCs w:val="24"/>
        </w:rPr>
        <w:t>Geografia em questão</w:t>
      </w:r>
      <w:r w:rsidRPr="002635D1">
        <w:rPr>
          <w:rFonts w:ascii="Arial" w:hAnsi="Arial" w:cs="Arial"/>
          <w:sz w:val="24"/>
          <w:szCs w:val="24"/>
        </w:rPr>
        <w:t>. V6, n. 1, p.179-201, 2013.</w:t>
      </w:r>
    </w:p>
    <w:p w14:paraId="2991E6CD" w14:textId="77777777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 xml:space="preserve">RODRIGUES, A.S de Lima &amp; NALINI Jr., H.A. Valores de </w:t>
      </w:r>
      <w:r w:rsidRPr="00E80989">
        <w:rPr>
          <w:rFonts w:ascii="Arial" w:hAnsi="Arial" w:cs="Arial"/>
          <w:sz w:val="24"/>
          <w:szCs w:val="24"/>
        </w:rPr>
        <w:t xml:space="preserve">background </w:t>
      </w:r>
      <w:r w:rsidRPr="002635D1">
        <w:rPr>
          <w:rFonts w:ascii="Arial" w:hAnsi="Arial" w:cs="Arial"/>
          <w:sz w:val="24"/>
          <w:szCs w:val="24"/>
        </w:rPr>
        <w:t xml:space="preserve">geoquímico e suas implicações em estudos ambientais. REM: </w:t>
      </w:r>
      <w:r w:rsidRPr="00E80989">
        <w:rPr>
          <w:rFonts w:ascii="Arial" w:hAnsi="Arial" w:cs="Arial"/>
          <w:i/>
          <w:sz w:val="24"/>
          <w:szCs w:val="24"/>
        </w:rPr>
        <w:t>Revista da Escola de Minas</w:t>
      </w:r>
      <w:r w:rsidRPr="002635D1">
        <w:rPr>
          <w:rFonts w:ascii="Arial" w:hAnsi="Arial" w:cs="Arial"/>
          <w:sz w:val="24"/>
          <w:szCs w:val="24"/>
        </w:rPr>
        <w:t>, v. 62 (2), p. 155-165, 2009.</w:t>
      </w:r>
    </w:p>
    <w:p w14:paraId="5D5012D3" w14:textId="77777777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>SANTA CATARINA. Secretaria do Estado de Meio Ambiente. Bacias hidrográficas de Santa Catarina: diagnóstico geral. Florianópolis: SDM, 1997.</w:t>
      </w:r>
    </w:p>
    <w:p w14:paraId="63EF0603" w14:textId="29563AD8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 xml:space="preserve">SCHNEIDER, C. H. Controle da drenagem ácida de minas na mineração de carvão de Santa Catarina: caso da Mina UMII – Verdinho. Dissertação de Mestrado do PPGE3M, UFRGS, Porto Alegre-RS, </w:t>
      </w:r>
      <w:r w:rsidR="005B0590" w:rsidRPr="002635D1">
        <w:rPr>
          <w:rFonts w:ascii="Arial" w:hAnsi="Arial" w:cs="Arial"/>
          <w:sz w:val="24"/>
          <w:szCs w:val="24"/>
        </w:rPr>
        <w:t>2006</w:t>
      </w:r>
      <w:r w:rsidR="005B0590">
        <w:rPr>
          <w:rFonts w:ascii="Arial" w:hAnsi="Arial" w:cs="Arial"/>
          <w:sz w:val="24"/>
          <w:szCs w:val="24"/>
        </w:rPr>
        <w:t>.</w:t>
      </w:r>
      <w:r w:rsidR="005B0590" w:rsidRPr="002635D1">
        <w:rPr>
          <w:rFonts w:ascii="Arial" w:hAnsi="Arial" w:cs="Arial"/>
          <w:sz w:val="24"/>
          <w:szCs w:val="24"/>
        </w:rPr>
        <w:t xml:space="preserve"> </w:t>
      </w:r>
      <w:r w:rsidRPr="002635D1">
        <w:rPr>
          <w:rFonts w:ascii="Arial" w:hAnsi="Arial" w:cs="Arial"/>
          <w:sz w:val="24"/>
          <w:szCs w:val="24"/>
        </w:rPr>
        <w:t>133p.</w:t>
      </w:r>
    </w:p>
    <w:p w14:paraId="5243F8AA" w14:textId="1062E14A" w:rsidR="00FA4191" w:rsidRPr="00FB1669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 xml:space="preserve">SCHNEIDER, R.L., MÜHLMANN, H., TOMMASI, E., MEDEIROS, R.A., DAEMON, R.F. &amp; NOGUEIRA, </w:t>
      </w:r>
      <w:proofErr w:type="gramStart"/>
      <w:r w:rsidRPr="002635D1">
        <w:rPr>
          <w:rFonts w:ascii="Arial" w:hAnsi="Arial" w:cs="Arial"/>
          <w:sz w:val="24"/>
          <w:szCs w:val="24"/>
        </w:rPr>
        <w:t>A.A.</w:t>
      </w:r>
      <w:r w:rsidR="005B0590">
        <w:rPr>
          <w:rFonts w:ascii="Arial" w:hAnsi="Arial" w:cs="Arial"/>
          <w:sz w:val="24"/>
          <w:szCs w:val="24"/>
        </w:rPr>
        <w:t>.</w:t>
      </w:r>
      <w:proofErr w:type="gramEnd"/>
      <w:r w:rsidR="005B0590">
        <w:rPr>
          <w:rFonts w:ascii="Arial" w:hAnsi="Arial" w:cs="Arial"/>
          <w:sz w:val="24"/>
          <w:szCs w:val="24"/>
        </w:rPr>
        <w:t xml:space="preserve"> </w:t>
      </w:r>
      <w:r w:rsidRPr="002635D1">
        <w:rPr>
          <w:rFonts w:ascii="Arial" w:hAnsi="Arial" w:cs="Arial"/>
          <w:sz w:val="24"/>
          <w:szCs w:val="24"/>
        </w:rPr>
        <w:t xml:space="preserve">Revisão Estratigráfica da Bacia do Paraná. In: CONGRESSO BRASILEIRO DE GEOLOGIA, </w:t>
      </w:r>
      <w:proofErr w:type="gramStart"/>
      <w:r w:rsidRPr="002635D1">
        <w:rPr>
          <w:rFonts w:ascii="Arial" w:hAnsi="Arial" w:cs="Arial"/>
          <w:sz w:val="24"/>
          <w:szCs w:val="24"/>
        </w:rPr>
        <w:t>28.,</w:t>
      </w:r>
      <w:proofErr w:type="gramEnd"/>
      <w:r w:rsidRPr="002635D1">
        <w:rPr>
          <w:rFonts w:ascii="Arial" w:hAnsi="Arial" w:cs="Arial"/>
          <w:sz w:val="24"/>
          <w:szCs w:val="24"/>
        </w:rPr>
        <w:t xml:space="preserve"> 1974, Porto Alegre. Anais… Porto Alegre, SBG, v.1,</w:t>
      </w:r>
      <w:r w:rsidR="005B0590" w:rsidRPr="005B0590">
        <w:rPr>
          <w:rFonts w:ascii="Arial" w:hAnsi="Arial" w:cs="Arial"/>
          <w:sz w:val="24"/>
          <w:szCs w:val="24"/>
        </w:rPr>
        <w:t xml:space="preserve"> </w:t>
      </w:r>
      <w:r w:rsidRPr="002635D1">
        <w:rPr>
          <w:rFonts w:ascii="Arial" w:hAnsi="Arial" w:cs="Arial"/>
          <w:sz w:val="24"/>
          <w:szCs w:val="24"/>
        </w:rPr>
        <w:t>p. 41-66.</w:t>
      </w:r>
      <w:r w:rsidR="005B0590" w:rsidRPr="005B0590">
        <w:rPr>
          <w:rFonts w:ascii="Arial" w:hAnsi="Arial" w:cs="Arial"/>
          <w:sz w:val="24"/>
          <w:szCs w:val="24"/>
        </w:rPr>
        <w:t xml:space="preserve"> </w:t>
      </w:r>
      <w:r w:rsidR="005B0590" w:rsidRPr="002635D1">
        <w:rPr>
          <w:rFonts w:ascii="Arial" w:hAnsi="Arial" w:cs="Arial"/>
          <w:sz w:val="24"/>
          <w:szCs w:val="24"/>
        </w:rPr>
        <w:t>1974</w:t>
      </w:r>
      <w:r w:rsidR="005B0590">
        <w:rPr>
          <w:rFonts w:ascii="Arial" w:hAnsi="Arial" w:cs="Arial"/>
          <w:sz w:val="24"/>
          <w:szCs w:val="24"/>
        </w:rPr>
        <w:t>.</w:t>
      </w:r>
      <w:r w:rsidR="005B0590" w:rsidRPr="002635D1">
        <w:rPr>
          <w:rFonts w:ascii="Arial" w:hAnsi="Arial" w:cs="Arial"/>
          <w:sz w:val="24"/>
          <w:szCs w:val="24"/>
        </w:rPr>
        <w:t xml:space="preserve"> </w:t>
      </w:r>
      <w:r w:rsidRPr="00FB1669">
        <w:rPr>
          <w:rFonts w:ascii="Arial" w:hAnsi="Arial" w:cs="Arial"/>
          <w:sz w:val="24"/>
          <w:szCs w:val="24"/>
        </w:rPr>
        <w:fldChar w:fldCharType="begin"/>
      </w:r>
      <w:r w:rsidRPr="00FB1669">
        <w:rPr>
          <w:rFonts w:ascii="Arial" w:hAnsi="Arial" w:cs="Arial"/>
          <w:sz w:val="24"/>
          <w:szCs w:val="24"/>
        </w:rPr>
        <w:instrText xml:space="preserve"> HYPERLINK "</w:instrText>
      </w:r>
    </w:p>
    <w:p w14:paraId="14A77198" w14:textId="77777777" w:rsidR="00FA4191" w:rsidRPr="00FB1669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FB1669">
        <w:rPr>
          <w:rFonts w:ascii="Arial" w:hAnsi="Arial" w:cs="Arial"/>
          <w:sz w:val="24"/>
          <w:szCs w:val="24"/>
        </w:rPr>
        <w:instrText xml:space="preserve">SECRETARIA DE ESTADO DO DESENVOLVIMENTO SUSTENTÁVEl – SDS. Hidrografia do município de Criciúma-SC, 2010. " </w:instrText>
      </w:r>
      <w:r w:rsidRPr="00FB1669">
        <w:rPr>
          <w:rFonts w:ascii="Arial" w:hAnsi="Arial" w:cs="Arial"/>
          <w:sz w:val="24"/>
          <w:szCs w:val="24"/>
        </w:rPr>
        <w:fldChar w:fldCharType="separate"/>
      </w:r>
    </w:p>
    <w:p w14:paraId="76BD93E8" w14:textId="77777777" w:rsidR="00FA4191" w:rsidRPr="00FB1669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FB1669">
        <w:rPr>
          <w:rFonts w:ascii="Arial" w:hAnsi="Arial" w:cs="Arial"/>
          <w:sz w:val="24"/>
          <w:szCs w:val="24"/>
        </w:rPr>
        <w:t xml:space="preserve">SECRETARIA DE ESTADO DO DESENVOLVIMENTO SUSTENTÁVEl – SDS. Hidrografia do município de Criciúma-SC, 2010. </w:t>
      </w:r>
      <w:r w:rsidRPr="00FB1669">
        <w:rPr>
          <w:rFonts w:ascii="Arial" w:hAnsi="Arial" w:cs="Arial"/>
          <w:sz w:val="24"/>
          <w:szCs w:val="24"/>
        </w:rPr>
        <w:fldChar w:fldCharType="end"/>
      </w:r>
      <w:r w:rsidRPr="00FB1669">
        <w:rPr>
          <w:rFonts w:ascii="Arial" w:hAnsi="Arial" w:cs="Arial"/>
          <w:sz w:val="24"/>
          <w:szCs w:val="24"/>
        </w:rPr>
        <w:t xml:space="preserve"> Disponível em: </w:t>
      </w:r>
      <w:hyperlink r:id="rId14" w:history="1">
        <w:r w:rsidRPr="00FB1669">
          <w:rPr>
            <w:rFonts w:ascii="Arial" w:hAnsi="Arial" w:cs="Arial"/>
            <w:sz w:val="24"/>
            <w:szCs w:val="24"/>
          </w:rPr>
          <w:t>http://sigsc.sds.sc.gov.br/</w:t>
        </w:r>
      </w:hyperlink>
      <w:r w:rsidRPr="00FB1669">
        <w:rPr>
          <w:rFonts w:ascii="Arial" w:hAnsi="Arial" w:cs="Arial"/>
          <w:sz w:val="24"/>
          <w:szCs w:val="24"/>
        </w:rPr>
        <w:t xml:space="preserve">. Acessado em 13 de fev. </w:t>
      </w:r>
      <w:proofErr w:type="gramStart"/>
      <w:r w:rsidRPr="00FB1669">
        <w:rPr>
          <w:rFonts w:ascii="Arial" w:hAnsi="Arial" w:cs="Arial"/>
          <w:sz w:val="24"/>
          <w:szCs w:val="24"/>
        </w:rPr>
        <w:t>de</w:t>
      </w:r>
      <w:proofErr w:type="gramEnd"/>
      <w:r w:rsidRPr="00FB1669">
        <w:rPr>
          <w:rFonts w:ascii="Arial" w:hAnsi="Arial" w:cs="Arial"/>
          <w:sz w:val="24"/>
          <w:szCs w:val="24"/>
        </w:rPr>
        <w:t xml:space="preserve"> 2019.</w:t>
      </w:r>
    </w:p>
    <w:p w14:paraId="61E01441" w14:textId="685CD32B" w:rsidR="00FA4191" w:rsidRPr="002635D1" w:rsidRDefault="00FA4191" w:rsidP="00FA419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635D1">
        <w:rPr>
          <w:rFonts w:ascii="Arial" w:hAnsi="Arial" w:cs="Arial"/>
          <w:sz w:val="24"/>
          <w:szCs w:val="24"/>
        </w:rPr>
        <w:t>SILVA, M. A. S.; LEITES, S. R. Folha SH.22-X-B, Criciúma: escala 1:250.000. Programa de Levantamentos Geológicos Básicos do Brasil – PLGB.</w:t>
      </w:r>
      <w:r w:rsidR="005B0590" w:rsidRPr="005B0590">
        <w:rPr>
          <w:rFonts w:ascii="Arial" w:hAnsi="Arial" w:cs="Arial"/>
          <w:sz w:val="24"/>
          <w:szCs w:val="24"/>
        </w:rPr>
        <w:t xml:space="preserve"> </w:t>
      </w:r>
      <w:r w:rsidR="005B0590" w:rsidRPr="002635D1">
        <w:rPr>
          <w:rFonts w:ascii="Arial" w:hAnsi="Arial" w:cs="Arial"/>
          <w:sz w:val="24"/>
          <w:szCs w:val="24"/>
        </w:rPr>
        <w:t>Brasília: CPRM, 2000.</w:t>
      </w:r>
    </w:p>
    <w:p w14:paraId="5DA6D7C7" w14:textId="05C41C8D" w:rsidR="00264A1B" w:rsidRDefault="00FA4191" w:rsidP="000667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2635D1">
        <w:rPr>
          <w:rFonts w:ascii="Arial" w:hAnsi="Arial" w:cs="Arial"/>
          <w:sz w:val="24"/>
          <w:szCs w:val="24"/>
          <w:lang w:val="en-US"/>
        </w:rPr>
        <w:t>TUKEY, J. W. Exploratory data analysis. Addison-Wesley, Reading, MA.</w:t>
      </w:r>
      <w:r w:rsidR="005B0590" w:rsidRPr="005B0590">
        <w:rPr>
          <w:rFonts w:ascii="Arial" w:hAnsi="Arial" w:cs="Arial"/>
          <w:sz w:val="24"/>
          <w:szCs w:val="24"/>
          <w:lang w:val="en-US"/>
        </w:rPr>
        <w:t xml:space="preserve"> </w:t>
      </w:r>
      <w:r w:rsidR="005B0590" w:rsidRPr="002635D1">
        <w:rPr>
          <w:rFonts w:ascii="Arial" w:hAnsi="Arial" w:cs="Arial"/>
          <w:sz w:val="24"/>
          <w:szCs w:val="24"/>
          <w:lang w:val="en-US"/>
        </w:rPr>
        <w:t>1977.</w:t>
      </w:r>
    </w:p>
    <w:p w14:paraId="267CF8E2" w14:textId="77777777" w:rsidR="00E80989" w:rsidRPr="002635D1" w:rsidRDefault="00E80989" w:rsidP="00E8098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80989">
        <w:rPr>
          <w:rFonts w:ascii="Arial" w:hAnsi="Arial" w:cs="Arial"/>
          <w:sz w:val="24"/>
          <w:szCs w:val="24"/>
          <w:lang w:val="en-US"/>
        </w:rPr>
        <w:t xml:space="preserve">UNITED STATES ENVIRONMENTAL PROTECTION AGENCY - USEPA. </w:t>
      </w:r>
      <w:r w:rsidRPr="002635D1">
        <w:rPr>
          <w:rFonts w:ascii="Arial" w:hAnsi="Arial" w:cs="Arial"/>
          <w:sz w:val="24"/>
          <w:szCs w:val="24"/>
          <w:lang w:val="en-US"/>
        </w:rPr>
        <w:t>Soil screening guidance: User's guide - EPA 450/R-96/018. Washington, Office of Solid Waste and Emergency Response, 1996.    </w:t>
      </w:r>
    </w:p>
    <w:p w14:paraId="4F680B74" w14:textId="6E5A4700" w:rsidR="00E80989" w:rsidRDefault="00E80989" w:rsidP="00066755">
      <w:pPr>
        <w:autoSpaceDE w:val="0"/>
        <w:autoSpaceDN w:val="0"/>
        <w:adjustRightInd w:val="0"/>
        <w:spacing w:before="120" w:after="120" w:line="240" w:lineRule="auto"/>
        <w:jc w:val="both"/>
        <w:rPr>
          <w:rFonts w:cs="Arial"/>
          <w:szCs w:val="24"/>
        </w:rPr>
      </w:pPr>
      <w:r w:rsidRPr="002635D1">
        <w:rPr>
          <w:rFonts w:ascii="Arial" w:hAnsi="Arial" w:cs="Arial"/>
          <w:sz w:val="24"/>
          <w:szCs w:val="24"/>
          <w:lang w:val="en-US"/>
        </w:rPr>
        <w:t xml:space="preserve">VROM. Intervention values and target values: Soil quality standards. </w:t>
      </w:r>
      <w:r w:rsidRPr="002635D1">
        <w:rPr>
          <w:rFonts w:ascii="Arial" w:hAnsi="Arial" w:cs="Arial"/>
          <w:sz w:val="24"/>
          <w:szCs w:val="24"/>
        </w:rPr>
        <w:t>The Hague, 1994. 19p. (DBO/07494013) </w:t>
      </w:r>
    </w:p>
    <w:sectPr w:rsidR="00E80989" w:rsidSect="00DA68EC"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64E"/>
    <w:multiLevelType w:val="multilevel"/>
    <w:tmpl w:val="84D44124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47263AFB"/>
    <w:multiLevelType w:val="hybridMultilevel"/>
    <w:tmpl w:val="466647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15"/>
    <w:rsid w:val="00010506"/>
    <w:rsid w:val="00011106"/>
    <w:rsid w:val="0002218F"/>
    <w:rsid w:val="000300C1"/>
    <w:rsid w:val="000300D2"/>
    <w:rsid w:val="000334B6"/>
    <w:rsid w:val="000457B6"/>
    <w:rsid w:val="00053A3C"/>
    <w:rsid w:val="00060EF9"/>
    <w:rsid w:val="0006609D"/>
    <w:rsid w:val="00066755"/>
    <w:rsid w:val="000733FE"/>
    <w:rsid w:val="00073FA5"/>
    <w:rsid w:val="000762BC"/>
    <w:rsid w:val="00080549"/>
    <w:rsid w:val="00084D34"/>
    <w:rsid w:val="00087E3E"/>
    <w:rsid w:val="00097055"/>
    <w:rsid w:val="000C66C5"/>
    <w:rsid w:val="000D18D1"/>
    <w:rsid w:val="000D7397"/>
    <w:rsid w:val="000E1DA7"/>
    <w:rsid w:val="000E7FAC"/>
    <w:rsid w:val="000F246F"/>
    <w:rsid w:val="00100D31"/>
    <w:rsid w:val="00102676"/>
    <w:rsid w:val="00112B91"/>
    <w:rsid w:val="0011465A"/>
    <w:rsid w:val="00121E91"/>
    <w:rsid w:val="00127892"/>
    <w:rsid w:val="00130217"/>
    <w:rsid w:val="00156199"/>
    <w:rsid w:val="00157F44"/>
    <w:rsid w:val="001602EB"/>
    <w:rsid w:val="00166059"/>
    <w:rsid w:val="00191D37"/>
    <w:rsid w:val="00192A9E"/>
    <w:rsid w:val="001A68FF"/>
    <w:rsid w:val="001C10BE"/>
    <w:rsid w:val="001C54C4"/>
    <w:rsid w:val="001C6432"/>
    <w:rsid w:val="001E1A80"/>
    <w:rsid w:val="001E3A9C"/>
    <w:rsid w:val="001E3F9C"/>
    <w:rsid w:val="001F65D6"/>
    <w:rsid w:val="002067F1"/>
    <w:rsid w:val="002126F0"/>
    <w:rsid w:val="00215613"/>
    <w:rsid w:val="00244F70"/>
    <w:rsid w:val="00245BE0"/>
    <w:rsid w:val="002464F0"/>
    <w:rsid w:val="00253467"/>
    <w:rsid w:val="00256542"/>
    <w:rsid w:val="002635D1"/>
    <w:rsid w:val="00264A1B"/>
    <w:rsid w:val="0027049B"/>
    <w:rsid w:val="00280E86"/>
    <w:rsid w:val="002854DE"/>
    <w:rsid w:val="002B0837"/>
    <w:rsid w:val="002B2CB0"/>
    <w:rsid w:val="002C50B4"/>
    <w:rsid w:val="002C6584"/>
    <w:rsid w:val="002D2197"/>
    <w:rsid w:val="002D6814"/>
    <w:rsid w:val="002D72CD"/>
    <w:rsid w:val="002E1986"/>
    <w:rsid w:val="002F0DD5"/>
    <w:rsid w:val="002F343C"/>
    <w:rsid w:val="00300B3E"/>
    <w:rsid w:val="00300D58"/>
    <w:rsid w:val="00314852"/>
    <w:rsid w:val="00327043"/>
    <w:rsid w:val="00335C8B"/>
    <w:rsid w:val="00342CD8"/>
    <w:rsid w:val="003431D8"/>
    <w:rsid w:val="0034774C"/>
    <w:rsid w:val="00355ABB"/>
    <w:rsid w:val="0036191A"/>
    <w:rsid w:val="00365357"/>
    <w:rsid w:val="0037377C"/>
    <w:rsid w:val="00392F3A"/>
    <w:rsid w:val="003A2394"/>
    <w:rsid w:val="003A67EC"/>
    <w:rsid w:val="003B2A2C"/>
    <w:rsid w:val="003B5F77"/>
    <w:rsid w:val="003D4902"/>
    <w:rsid w:val="003D55F6"/>
    <w:rsid w:val="003D60B0"/>
    <w:rsid w:val="003D7F1E"/>
    <w:rsid w:val="003E3A13"/>
    <w:rsid w:val="003F7200"/>
    <w:rsid w:val="0040482F"/>
    <w:rsid w:val="004161F2"/>
    <w:rsid w:val="00434D0F"/>
    <w:rsid w:val="00446B2C"/>
    <w:rsid w:val="004719FF"/>
    <w:rsid w:val="00475481"/>
    <w:rsid w:val="00480737"/>
    <w:rsid w:val="0048155A"/>
    <w:rsid w:val="004857A8"/>
    <w:rsid w:val="004D56E8"/>
    <w:rsid w:val="004F0FA8"/>
    <w:rsid w:val="004F3816"/>
    <w:rsid w:val="004F7D3D"/>
    <w:rsid w:val="00517AC6"/>
    <w:rsid w:val="00546F33"/>
    <w:rsid w:val="00550C5D"/>
    <w:rsid w:val="0056205A"/>
    <w:rsid w:val="00571810"/>
    <w:rsid w:val="005727C8"/>
    <w:rsid w:val="00580C64"/>
    <w:rsid w:val="005911D6"/>
    <w:rsid w:val="005A79C9"/>
    <w:rsid w:val="005B00B7"/>
    <w:rsid w:val="005B0590"/>
    <w:rsid w:val="005E08C8"/>
    <w:rsid w:val="005E311F"/>
    <w:rsid w:val="005F0574"/>
    <w:rsid w:val="005F1C63"/>
    <w:rsid w:val="00601576"/>
    <w:rsid w:val="00601780"/>
    <w:rsid w:val="006167F4"/>
    <w:rsid w:val="00625456"/>
    <w:rsid w:val="0062692B"/>
    <w:rsid w:val="00631BD7"/>
    <w:rsid w:val="00637011"/>
    <w:rsid w:val="00650D78"/>
    <w:rsid w:val="006516F8"/>
    <w:rsid w:val="00655545"/>
    <w:rsid w:val="00657D6F"/>
    <w:rsid w:val="00660AA2"/>
    <w:rsid w:val="006711B1"/>
    <w:rsid w:val="0068067B"/>
    <w:rsid w:val="00686BF2"/>
    <w:rsid w:val="00687EE6"/>
    <w:rsid w:val="00696B74"/>
    <w:rsid w:val="006A1902"/>
    <w:rsid w:val="006B0C26"/>
    <w:rsid w:val="006B1D27"/>
    <w:rsid w:val="006C587F"/>
    <w:rsid w:val="006D0476"/>
    <w:rsid w:val="006E05C7"/>
    <w:rsid w:val="006E07D1"/>
    <w:rsid w:val="006F065D"/>
    <w:rsid w:val="00713E2E"/>
    <w:rsid w:val="00714CB0"/>
    <w:rsid w:val="0071661E"/>
    <w:rsid w:val="0072007D"/>
    <w:rsid w:val="00720636"/>
    <w:rsid w:val="0073479F"/>
    <w:rsid w:val="00740738"/>
    <w:rsid w:val="00743443"/>
    <w:rsid w:val="00753DF4"/>
    <w:rsid w:val="00756E60"/>
    <w:rsid w:val="007641E6"/>
    <w:rsid w:val="00786325"/>
    <w:rsid w:val="00786584"/>
    <w:rsid w:val="007A40F9"/>
    <w:rsid w:val="007A6132"/>
    <w:rsid w:val="007C0288"/>
    <w:rsid w:val="007C0716"/>
    <w:rsid w:val="007C4789"/>
    <w:rsid w:val="007E5EC2"/>
    <w:rsid w:val="00800B1D"/>
    <w:rsid w:val="008047DE"/>
    <w:rsid w:val="00817B61"/>
    <w:rsid w:val="00817CF3"/>
    <w:rsid w:val="0082424F"/>
    <w:rsid w:val="00827B1B"/>
    <w:rsid w:val="008304C7"/>
    <w:rsid w:val="00834080"/>
    <w:rsid w:val="0085124C"/>
    <w:rsid w:val="0085611D"/>
    <w:rsid w:val="0085658E"/>
    <w:rsid w:val="00863677"/>
    <w:rsid w:val="00863821"/>
    <w:rsid w:val="00867B95"/>
    <w:rsid w:val="0088254D"/>
    <w:rsid w:val="008846A2"/>
    <w:rsid w:val="008A0168"/>
    <w:rsid w:val="008A0D85"/>
    <w:rsid w:val="008A2A79"/>
    <w:rsid w:val="008A7252"/>
    <w:rsid w:val="008D49CB"/>
    <w:rsid w:val="008E4D45"/>
    <w:rsid w:val="008F0FE4"/>
    <w:rsid w:val="008F3F4A"/>
    <w:rsid w:val="008F4512"/>
    <w:rsid w:val="008F4B10"/>
    <w:rsid w:val="00914C41"/>
    <w:rsid w:val="00917D94"/>
    <w:rsid w:val="00924E27"/>
    <w:rsid w:val="0093114D"/>
    <w:rsid w:val="00943FC4"/>
    <w:rsid w:val="00956558"/>
    <w:rsid w:val="00956653"/>
    <w:rsid w:val="009609E5"/>
    <w:rsid w:val="00966094"/>
    <w:rsid w:val="00971E35"/>
    <w:rsid w:val="00992ED5"/>
    <w:rsid w:val="009956B5"/>
    <w:rsid w:val="009A0B3E"/>
    <w:rsid w:val="009A403F"/>
    <w:rsid w:val="009B437F"/>
    <w:rsid w:val="009C365A"/>
    <w:rsid w:val="009C6BD6"/>
    <w:rsid w:val="009D66B2"/>
    <w:rsid w:val="009E1DDB"/>
    <w:rsid w:val="009F10C9"/>
    <w:rsid w:val="009F2621"/>
    <w:rsid w:val="00A06AF2"/>
    <w:rsid w:val="00A16E62"/>
    <w:rsid w:val="00A2184B"/>
    <w:rsid w:val="00A24052"/>
    <w:rsid w:val="00A25722"/>
    <w:rsid w:val="00A37216"/>
    <w:rsid w:val="00A4546C"/>
    <w:rsid w:val="00A4798E"/>
    <w:rsid w:val="00A56366"/>
    <w:rsid w:val="00A70343"/>
    <w:rsid w:val="00A92A45"/>
    <w:rsid w:val="00AA2D8D"/>
    <w:rsid w:val="00AC23FA"/>
    <w:rsid w:val="00AD10D1"/>
    <w:rsid w:val="00AD2692"/>
    <w:rsid w:val="00B00C8E"/>
    <w:rsid w:val="00B242FC"/>
    <w:rsid w:val="00B254CF"/>
    <w:rsid w:val="00B33C2F"/>
    <w:rsid w:val="00B4254D"/>
    <w:rsid w:val="00B71450"/>
    <w:rsid w:val="00B737E2"/>
    <w:rsid w:val="00B747B3"/>
    <w:rsid w:val="00B75D00"/>
    <w:rsid w:val="00B81D50"/>
    <w:rsid w:val="00B8492C"/>
    <w:rsid w:val="00B92007"/>
    <w:rsid w:val="00B93AFA"/>
    <w:rsid w:val="00BA0CB9"/>
    <w:rsid w:val="00BA79C8"/>
    <w:rsid w:val="00BB2165"/>
    <w:rsid w:val="00BC1524"/>
    <w:rsid w:val="00BC778C"/>
    <w:rsid w:val="00BE2225"/>
    <w:rsid w:val="00BF3B64"/>
    <w:rsid w:val="00BF5498"/>
    <w:rsid w:val="00C0764A"/>
    <w:rsid w:val="00C1057E"/>
    <w:rsid w:val="00C10DFD"/>
    <w:rsid w:val="00C1404B"/>
    <w:rsid w:val="00C26E40"/>
    <w:rsid w:val="00C44626"/>
    <w:rsid w:val="00C55EC7"/>
    <w:rsid w:val="00C76AE6"/>
    <w:rsid w:val="00C81BAB"/>
    <w:rsid w:val="00C866EE"/>
    <w:rsid w:val="00C9354A"/>
    <w:rsid w:val="00C94215"/>
    <w:rsid w:val="00CB5C75"/>
    <w:rsid w:val="00CB666E"/>
    <w:rsid w:val="00CC535E"/>
    <w:rsid w:val="00CC7AD1"/>
    <w:rsid w:val="00CE1923"/>
    <w:rsid w:val="00CF412D"/>
    <w:rsid w:val="00CF44C3"/>
    <w:rsid w:val="00CF5AF5"/>
    <w:rsid w:val="00D03B90"/>
    <w:rsid w:val="00D15BAA"/>
    <w:rsid w:val="00D170AF"/>
    <w:rsid w:val="00D27327"/>
    <w:rsid w:val="00D30A85"/>
    <w:rsid w:val="00D34A9E"/>
    <w:rsid w:val="00D360DE"/>
    <w:rsid w:val="00D40A29"/>
    <w:rsid w:val="00D460F8"/>
    <w:rsid w:val="00D5319E"/>
    <w:rsid w:val="00D56BD1"/>
    <w:rsid w:val="00D63C53"/>
    <w:rsid w:val="00D67A1C"/>
    <w:rsid w:val="00D724C0"/>
    <w:rsid w:val="00D90415"/>
    <w:rsid w:val="00D95F88"/>
    <w:rsid w:val="00DA0DD0"/>
    <w:rsid w:val="00DA4F81"/>
    <w:rsid w:val="00DA68EC"/>
    <w:rsid w:val="00DB065F"/>
    <w:rsid w:val="00DB0661"/>
    <w:rsid w:val="00DB1415"/>
    <w:rsid w:val="00DC18E2"/>
    <w:rsid w:val="00DC1ECF"/>
    <w:rsid w:val="00DD1011"/>
    <w:rsid w:val="00DD3EA7"/>
    <w:rsid w:val="00DD6689"/>
    <w:rsid w:val="00DE2E75"/>
    <w:rsid w:val="00DF0447"/>
    <w:rsid w:val="00DF5892"/>
    <w:rsid w:val="00DF75A7"/>
    <w:rsid w:val="00E01B0F"/>
    <w:rsid w:val="00E44712"/>
    <w:rsid w:val="00E46969"/>
    <w:rsid w:val="00E4717A"/>
    <w:rsid w:val="00E5634A"/>
    <w:rsid w:val="00E57B9A"/>
    <w:rsid w:val="00E61F04"/>
    <w:rsid w:val="00E7481A"/>
    <w:rsid w:val="00E80989"/>
    <w:rsid w:val="00E87F17"/>
    <w:rsid w:val="00E950FB"/>
    <w:rsid w:val="00EA5D74"/>
    <w:rsid w:val="00EA5ED6"/>
    <w:rsid w:val="00EA6423"/>
    <w:rsid w:val="00EC05DA"/>
    <w:rsid w:val="00EC1887"/>
    <w:rsid w:val="00EC56C5"/>
    <w:rsid w:val="00ED48BD"/>
    <w:rsid w:val="00EF6DE6"/>
    <w:rsid w:val="00F00011"/>
    <w:rsid w:val="00F0425F"/>
    <w:rsid w:val="00F15F05"/>
    <w:rsid w:val="00F24CA1"/>
    <w:rsid w:val="00F43C79"/>
    <w:rsid w:val="00F44349"/>
    <w:rsid w:val="00F46664"/>
    <w:rsid w:val="00F466CA"/>
    <w:rsid w:val="00F55037"/>
    <w:rsid w:val="00F61128"/>
    <w:rsid w:val="00F6602C"/>
    <w:rsid w:val="00F96CAA"/>
    <w:rsid w:val="00F97CBA"/>
    <w:rsid w:val="00F97F8C"/>
    <w:rsid w:val="00FA4191"/>
    <w:rsid w:val="00FA5381"/>
    <w:rsid w:val="00FA6E88"/>
    <w:rsid w:val="00FB1669"/>
    <w:rsid w:val="00FB7017"/>
    <w:rsid w:val="00FE3082"/>
    <w:rsid w:val="00FE3D71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845BC"/>
  <w15:docId w15:val="{9FB1210A-138A-4571-908C-E74EEF2D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55545"/>
    <w:pPr>
      <w:keepNext/>
      <w:keepLines/>
      <w:numPr>
        <w:numId w:val="2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55545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A2394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21E91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21E9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55545"/>
    <w:rPr>
      <w:rFonts w:ascii="Arial" w:eastAsiaTheme="majorEastAsia" w:hAnsi="Arial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655545"/>
    <w:rPr>
      <w:rFonts w:ascii="Arial" w:eastAsiaTheme="majorEastAsia" w:hAnsi="Arial" w:cstheme="majorBidi"/>
      <w:sz w:val="24"/>
      <w:szCs w:val="26"/>
    </w:rPr>
  </w:style>
  <w:style w:type="paragraph" w:customStyle="1" w:styleId="NORMAL0">
    <w:name w:val="_NORMAL"/>
    <w:qFormat/>
    <w:rsid w:val="008A0D85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0"/>
      <w:lang w:bidi="en-US"/>
    </w:rPr>
  </w:style>
  <w:style w:type="character" w:styleId="Nmerodelinha">
    <w:name w:val="line number"/>
    <w:basedOn w:val="Fontepargpadro"/>
    <w:uiPriority w:val="99"/>
    <w:semiHidden/>
    <w:unhideWhenUsed/>
    <w:rsid w:val="00F00011"/>
  </w:style>
  <w:style w:type="paragraph" w:styleId="Legenda">
    <w:name w:val="caption"/>
    <w:aliases w:val="Legenda Char Char"/>
    <w:basedOn w:val="Normal"/>
    <w:next w:val="Normal"/>
    <w:link w:val="LegendaChar"/>
    <w:uiPriority w:val="35"/>
    <w:unhideWhenUsed/>
    <w:qFormat/>
    <w:rsid w:val="00097055"/>
    <w:pPr>
      <w:spacing w:after="80" w:line="240" w:lineRule="auto"/>
      <w:jc w:val="both"/>
    </w:pPr>
    <w:rPr>
      <w:rFonts w:ascii="Arial" w:hAnsi="Arial"/>
      <w:b/>
      <w:bCs/>
      <w:color w:val="000000" w:themeColor="text1"/>
      <w:sz w:val="20"/>
      <w:szCs w:val="18"/>
    </w:rPr>
  </w:style>
  <w:style w:type="character" w:customStyle="1" w:styleId="LegendaChar">
    <w:name w:val="Legenda Char"/>
    <w:aliases w:val="Legenda Char Char Char"/>
    <w:link w:val="Legenda"/>
    <w:uiPriority w:val="35"/>
    <w:rsid w:val="00097055"/>
    <w:rPr>
      <w:rFonts w:ascii="Arial" w:hAnsi="Arial"/>
      <w:b/>
      <w:bCs/>
      <w:color w:val="000000" w:themeColor="text1"/>
      <w:sz w:val="20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C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3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66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A0B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A0B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A0B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A0B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A0B3E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13E2E"/>
    <w:pPr>
      <w:spacing w:after="0" w:line="240" w:lineRule="auto"/>
    </w:pPr>
  </w:style>
  <w:style w:type="paragraph" w:customStyle="1" w:styleId="corpodetexto">
    <w:name w:val="corpo de texto"/>
    <w:basedOn w:val="Normal"/>
    <w:link w:val="corpodetextoChar"/>
    <w:autoRedefine/>
    <w:qFormat/>
    <w:rsid w:val="002D72CD"/>
    <w:pPr>
      <w:spacing w:before="60" w:after="60" w:line="360" w:lineRule="auto"/>
      <w:ind w:firstLine="709"/>
      <w:jc w:val="both"/>
    </w:pPr>
    <w:rPr>
      <w:rFonts w:ascii="Arial" w:eastAsia="Batang" w:hAnsi="Arial" w:cs="Arial"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2D72CD"/>
    <w:rPr>
      <w:rFonts w:ascii="Arial" w:eastAsia="Batang" w:hAnsi="Arial" w:cs="Arial"/>
      <w:bCs/>
      <w:sz w:val="24"/>
      <w:szCs w:val="24"/>
      <w:lang w:eastAsia="pt-BR"/>
    </w:rPr>
  </w:style>
  <w:style w:type="paragraph" w:customStyle="1" w:styleId="anexo">
    <w:name w:val="anexo"/>
    <w:basedOn w:val="Normal"/>
    <w:autoRedefine/>
    <w:rsid w:val="00CF44C3"/>
    <w:pPr>
      <w:spacing w:after="0" w:line="360" w:lineRule="auto"/>
      <w:jc w:val="center"/>
    </w:pPr>
    <w:rPr>
      <w:rFonts w:ascii="Copperplate Gothic Bold" w:eastAsia="Times New Roman" w:hAnsi="Copperplate Gothic Bold" w:cs="Times New Roman"/>
      <w:b/>
      <w:b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9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sigsc.sds.sc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21CAC-250E-4EC1-9F44-D99EB1F3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20</Pages>
  <Words>5435</Words>
  <Characters>29351</Characters>
  <Application>Microsoft Office Word</Application>
  <DocSecurity>0</DocSecurity>
  <Lines>244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Simao</dc:creator>
  <cp:keywords/>
  <dc:description/>
  <cp:lastModifiedBy>Gustavo Simão</cp:lastModifiedBy>
  <cp:revision>78</cp:revision>
  <cp:lastPrinted>2018-08-27T20:26:00Z</cp:lastPrinted>
  <dcterms:created xsi:type="dcterms:W3CDTF">2019-02-12T17:03:00Z</dcterms:created>
  <dcterms:modified xsi:type="dcterms:W3CDTF">2019-02-13T15:39:00Z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9bb951ae-8c60-37da-b984-84278b8201f9</vt:lpwstr>
  </property>
  <property fmtid="{D5CDD505-2E9C-101B-9397-08002B2CF9AE}" pid="4" name="Mendeley Citation Style_1">
    <vt:lpwstr>http://www.zotero.org/styles/associacao-brasileira-de-normas-tecnicas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http://www.zotero.org/styles/associacao-brasileira-de-normas-tecnicas</vt:lpwstr>
  </property>
  <property fmtid="{D5CDD505-2E9C-101B-9397-08002B2CF9AE}" pid="10" name="Mendeley Recent Style Name 2_1">
    <vt:lpwstr>Associação Brasileira de Normas Técnicas (Portuguese - Brazil)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http://www.zotero.org/styles/associacao-brasileira-de-normas-tecnicas-usp-fmvz</vt:lpwstr>
  </property>
  <property fmtid="{D5CDD505-2E9C-101B-9397-08002B2CF9AE}" pid="24" name="Mendeley Recent Style Name 9_1">
    <vt:lpwstr>Universidade de São Paulo - Faculdade de Medicina Veterinária e Zootecnia - ABNT (Portuguese - Brazil)</vt:lpwstr>
  </property>
</Properties>
</file>