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B3BE4F3" w14:textId="5149A3EE" w:rsidR="00E07BB3" w:rsidRDefault="00E8653F">
      <w:pPr>
        <w:spacing w:line="480" w:lineRule="auto"/>
        <w:jc w:val="center"/>
        <w:rPr>
          <w:rFonts w:ascii="Arial" w:eastAsia="Arial" w:hAnsi="Arial" w:cs="Arial"/>
          <w:b/>
          <w:smallCaps/>
          <w:sz w:val="24"/>
          <w:szCs w:val="24"/>
        </w:rPr>
      </w:pPr>
      <w:bookmarkStart w:id="0" w:name="_GoBack"/>
      <w:r w:rsidRPr="00CA3984">
        <w:rPr>
          <w:rFonts w:ascii="Arial" w:eastAsia="Arial" w:hAnsi="Arial" w:cs="Arial"/>
          <w:b/>
          <w:smallCaps/>
          <w:sz w:val="24"/>
          <w:szCs w:val="24"/>
        </w:rPr>
        <w:t>C</w:t>
      </w:r>
      <w:r w:rsidR="00FA3BA2">
        <w:rPr>
          <w:rFonts w:ascii="Arial" w:eastAsia="Arial" w:hAnsi="Arial" w:cs="Arial"/>
          <w:b/>
          <w:smallCaps/>
          <w:sz w:val="24"/>
          <w:szCs w:val="24"/>
        </w:rPr>
        <w:t xml:space="preserve">ORRELAÇÃO ENTRE </w:t>
      </w:r>
      <w:r w:rsidR="0088207F">
        <w:rPr>
          <w:rFonts w:ascii="Arial" w:eastAsia="Arial" w:hAnsi="Arial" w:cs="Arial"/>
          <w:b/>
          <w:smallCaps/>
          <w:sz w:val="24"/>
          <w:szCs w:val="24"/>
        </w:rPr>
        <w:t>DADOS</w:t>
      </w:r>
      <w:r w:rsidR="0088207F" w:rsidRPr="00CA3984">
        <w:rPr>
          <w:rFonts w:ascii="Arial" w:eastAsia="Arial" w:hAnsi="Arial" w:cs="Arial"/>
          <w:b/>
          <w:smallCaps/>
          <w:sz w:val="24"/>
          <w:szCs w:val="24"/>
        </w:rPr>
        <w:t xml:space="preserve"> </w:t>
      </w:r>
      <w:r w:rsidR="00FA3BA2">
        <w:rPr>
          <w:rFonts w:ascii="Arial" w:eastAsia="Arial" w:hAnsi="Arial" w:cs="Arial"/>
          <w:b/>
          <w:smallCaps/>
          <w:sz w:val="24"/>
          <w:szCs w:val="24"/>
        </w:rPr>
        <w:t>DE PERFILAGEM GEOFÍSICA E POTENCIAL DE BOMBEAMENTO DE POÇ</w:t>
      </w:r>
      <w:r w:rsidR="00956C3F">
        <w:rPr>
          <w:rFonts w:ascii="Arial" w:eastAsia="Arial" w:hAnsi="Arial" w:cs="Arial"/>
          <w:b/>
          <w:smallCaps/>
          <w:sz w:val="24"/>
          <w:szCs w:val="24"/>
        </w:rPr>
        <w:t>OS EM LITOTIPOS DA FORMAÇÃO CAUÊ</w:t>
      </w:r>
      <w:r w:rsidR="00FA3BA2">
        <w:rPr>
          <w:rFonts w:ascii="Arial" w:eastAsia="Arial" w:hAnsi="Arial" w:cs="Arial"/>
          <w:b/>
          <w:smallCaps/>
          <w:sz w:val="24"/>
          <w:szCs w:val="24"/>
        </w:rPr>
        <w:t xml:space="preserve"> NO </w:t>
      </w:r>
      <w:r w:rsidRPr="00CA3984">
        <w:rPr>
          <w:rFonts w:ascii="Arial" w:eastAsia="Arial" w:hAnsi="Arial" w:cs="Arial"/>
          <w:b/>
          <w:smallCaps/>
          <w:sz w:val="24"/>
          <w:szCs w:val="24"/>
        </w:rPr>
        <w:t>SUDOESTE DO QUADRILÁTERO FERRÍFERO, MG</w:t>
      </w:r>
    </w:p>
    <w:bookmarkEnd w:id="0"/>
    <w:p w14:paraId="33CB0CE1" w14:textId="43F3D841" w:rsidR="00956C3F" w:rsidRPr="0036192B" w:rsidRDefault="00956C3F">
      <w:pPr>
        <w:spacing w:line="480" w:lineRule="auto"/>
        <w:jc w:val="center"/>
        <w:rPr>
          <w:rFonts w:ascii="Arial" w:eastAsia="Arial" w:hAnsi="Arial" w:cs="Arial"/>
          <w:szCs w:val="24"/>
          <w:lang w:val="en-US"/>
        </w:rPr>
      </w:pPr>
      <w:r w:rsidRPr="0036192B">
        <w:rPr>
          <w:rFonts w:ascii="Arial" w:eastAsia="Arial" w:hAnsi="Arial" w:cs="Arial"/>
          <w:smallCaps/>
          <w:szCs w:val="24"/>
          <w:lang w:val="en-US"/>
        </w:rPr>
        <w:t xml:space="preserve">CORRELATION BETWEEN GEOPHYSICAL </w:t>
      </w:r>
      <w:r w:rsidR="001D1A50">
        <w:rPr>
          <w:rFonts w:ascii="Arial" w:eastAsia="Arial" w:hAnsi="Arial" w:cs="Arial"/>
          <w:smallCaps/>
          <w:szCs w:val="24"/>
          <w:lang w:val="en-US"/>
        </w:rPr>
        <w:t>DATA</w:t>
      </w:r>
      <w:r w:rsidR="001D1A50" w:rsidRPr="0036192B">
        <w:rPr>
          <w:rFonts w:ascii="Arial" w:eastAsia="Arial" w:hAnsi="Arial" w:cs="Arial"/>
          <w:smallCaps/>
          <w:szCs w:val="24"/>
          <w:lang w:val="en-US"/>
        </w:rPr>
        <w:t xml:space="preserve"> </w:t>
      </w:r>
      <w:r w:rsidRPr="0036192B">
        <w:rPr>
          <w:rFonts w:ascii="Arial" w:eastAsia="Arial" w:hAnsi="Arial" w:cs="Arial"/>
          <w:smallCaps/>
          <w:szCs w:val="24"/>
          <w:lang w:val="en-US"/>
        </w:rPr>
        <w:t xml:space="preserve">AND PUMPING POTENCIAL IN DEEP WELLS LOCATED </w:t>
      </w:r>
      <w:r w:rsidR="001D1A50">
        <w:rPr>
          <w:rFonts w:ascii="Arial" w:eastAsia="Arial" w:hAnsi="Arial" w:cs="Arial"/>
          <w:smallCaps/>
          <w:szCs w:val="24"/>
          <w:lang w:val="en-US"/>
        </w:rPr>
        <w:t>I</w:t>
      </w:r>
      <w:r w:rsidRPr="0036192B">
        <w:rPr>
          <w:rFonts w:ascii="Arial" w:eastAsia="Arial" w:hAnsi="Arial" w:cs="Arial"/>
          <w:smallCaps/>
          <w:szCs w:val="24"/>
          <w:lang w:val="en-US"/>
        </w:rPr>
        <w:t xml:space="preserve">N </w:t>
      </w:r>
      <w:r w:rsidR="001D1A50">
        <w:rPr>
          <w:rFonts w:ascii="Arial" w:eastAsia="Arial" w:hAnsi="Arial" w:cs="Arial"/>
          <w:smallCaps/>
          <w:szCs w:val="24"/>
          <w:lang w:val="en-US"/>
        </w:rPr>
        <w:t xml:space="preserve">THE </w:t>
      </w:r>
      <w:r w:rsidRPr="0036192B">
        <w:rPr>
          <w:rFonts w:ascii="Arial" w:eastAsia="Arial" w:hAnsi="Arial" w:cs="Arial"/>
          <w:smallCaps/>
          <w:szCs w:val="24"/>
          <w:lang w:val="en-US"/>
        </w:rPr>
        <w:t>CAUÊ FORMATION, SOUTHWE</w:t>
      </w:r>
      <w:r w:rsidR="001D1A50">
        <w:rPr>
          <w:rFonts w:ascii="Arial" w:eastAsia="Arial" w:hAnsi="Arial" w:cs="Arial"/>
          <w:smallCaps/>
          <w:szCs w:val="24"/>
          <w:lang w:val="en-US"/>
        </w:rPr>
        <w:t>S</w:t>
      </w:r>
      <w:r w:rsidRPr="0036192B">
        <w:rPr>
          <w:rFonts w:ascii="Arial" w:eastAsia="Arial" w:hAnsi="Arial" w:cs="Arial"/>
          <w:smallCaps/>
          <w:szCs w:val="24"/>
          <w:lang w:val="en-US"/>
        </w:rPr>
        <w:t>T</w:t>
      </w:r>
      <w:r w:rsidR="001D1A50">
        <w:rPr>
          <w:rFonts w:ascii="Arial" w:eastAsia="Arial" w:hAnsi="Arial" w:cs="Arial"/>
          <w:smallCaps/>
          <w:szCs w:val="24"/>
          <w:lang w:val="en-US"/>
        </w:rPr>
        <w:t>ERN</w:t>
      </w:r>
      <w:r w:rsidRPr="0036192B">
        <w:rPr>
          <w:rFonts w:ascii="Arial" w:eastAsia="Arial" w:hAnsi="Arial" w:cs="Arial"/>
          <w:smallCaps/>
          <w:szCs w:val="24"/>
          <w:lang w:val="en-US"/>
        </w:rPr>
        <w:t xml:space="preserve"> PORTION OF </w:t>
      </w:r>
      <w:r w:rsidR="001D1A50">
        <w:rPr>
          <w:rFonts w:ascii="Arial" w:eastAsia="Arial" w:hAnsi="Arial" w:cs="Arial"/>
          <w:smallCaps/>
          <w:szCs w:val="24"/>
          <w:lang w:val="en-US"/>
        </w:rPr>
        <w:t xml:space="preserve">THE </w:t>
      </w:r>
      <w:r w:rsidRPr="0036192B">
        <w:rPr>
          <w:rFonts w:ascii="Arial" w:eastAsia="Arial" w:hAnsi="Arial" w:cs="Arial"/>
          <w:smallCaps/>
          <w:szCs w:val="24"/>
          <w:lang w:val="en-US"/>
        </w:rPr>
        <w:t>QUADRILATERO FERRIFERO, MG</w:t>
      </w:r>
    </w:p>
    <w:p w14:paraId="0FB9DBF9" w14:textId="77777777" w:rsidR="00E07BB3" w:rsidRPr="0036192B" w:rsidRDefault="00E07BB3">
      <w:pPr>
        <w:spacing w:line="480" w:lineRule="auto"/>
        <w:jc w:val="center"/>
        <w:rPr>
          <w:rFonts w:ascii="Arial" w:eastAsia="Arial" w:hAnsi="Arial" w:cs="Arial"/>
          <w:b/>
          <w:sz w:val="24"/>
          <w:szCs w:val="24"/>
          <w:lang w:val="en-US"/>
        </w:rPr>
      </w:pPr>
    </w:p>
    <w:p w14:paraId="683896D4" w14:textId="25434E75" w:rsidR="00E07BB3" w:rsidRPr="00206FAB" w:rsidRDefault="00E8653F">
      <w:pPr>
        <w:spacing w:line="480" w:lineRule="auto"/>
        <w:jc w:val="both"/>
        <w:rPr>
          <w:rFonts w:ascii="Arial" w:eastAsia="Arial" w:hAnsi="Arial" w:cs="Arial"/>
          <w:b/>
          <w:sz w:val="24"/>
        </w:rPr>
      </w:pPr>
      <w:r w:rsidRPr="00206FAB">
        <w:rPr>
          <w:rFonts w:ascii="Arial" w:eastAsia="Arial" w:hAnsi="Arial" w:cs="Arial"/>
          <w:b/>
          <w:sz w:val="24"/>
        </w:rPr>
        <w:t>Resumo:</w:t>
      </w:r>
      <w:r w:rsidRPr="00206FAB">
        <w:rPr>
          <w:rFonts w:ascii="Arial" w:eastAsia="Arial" w:hAnsi="Arial" w:cs="Arial"/>
          <w:sz w:val="32"/>
          <w:szCs w:val="24"/>
        </w:rPr>
        <w:t xml:space="preserve"> </w:t>
      </w:r>
      <w:r w:rsidRPr="00206FAB">
        <w:rPr>
          <w:rFonts w:ascii="Arial" w:eastAsia="Arial" w:hAnsi="Arial" w:cs="Arial"/>
          <w:sz w:val="24"/>
        </w:rPr>
        <w:t xml:space="preserve">O presente artigo consiste em uma integração litológica-hidrológica com base em </w:t>
      </w:r>
      <w:r w:rsidR="001D1A50">
        <w:rPr>
          <w:rFonts w:ascii="Arial" w:eastAsia="Arial" w:hAnsi="Arial" w:cs="Arial"/>
          <w:sz w:val="24"/>
        </w:rPr>
        <w:t>dados</w:t>
      </w:r>
      <w:r w:rsidR="001D1A50" w:rsidRPr="00206FAB">
        <w:rPr>
          <w:rFonts w:ascii="Arial" w:eastAsia="Arial" w:hAnsi="Arial" w:cs="Arial"/>
          <w:sz w:val="24"/>
        </w:rPr>
        <w:t xml:space="preserve"> </w:t>
      </w:r>
      <w:r w:rsidRPr="00206FAB">
        <w:rPr>
          <w:rFonts w:ascii="Arial" w:eastAsia="Arial" w:hAnsi="Arial" w:cs="Arial"/>
          <w:sz w:val="24"/>
        </w:rPr>
        <w:t>de perfilagem geofísica realizada em poços tubulares profundos. Seu principal objetivo é a comparação e definição dos litotipos mais favoráveis para prospecção de água subterrânea na área de estudo. A metodologia envolveu a análise dos perfis geofísicos e sua interpretação em conjunto com a litologia e valores de vazão específica de cada poço.  No caso dos litotipos do Aquífero Cauê, as litologias brandas tendem a ter mais água que litologias compactas e, de modo geral, hematitas são mais ricas em água do que itabiritos, ainda que, a quantidade de água nos diferentes tipos de itabirito tenha uma boa variação.</w:t>
      </w:r>
    </w:p>
    <w:p w14:paraId="5DFF25C5" w14:textId="77777777" w:rsidR="00E07BB3" w:rsidRPr="00206FAB" w:rsidRDefault="00E8653F">
      <w:pPr>
        <w:spacing w:line="480" w:lineRule="auto"/>
        <w:rPr>
          <w:rFonts w:ascii="Arial" w:eastAsia="Arial" w:hAnsi="Arial" w:cs="Arial"/>
          <w:sz w:val="24"/>
        </w:rPr>
      </w:pPr>
      <w:r w:rsidRPr="00206FAB">
        <w:rPr>
          <w:rFonts w:ascii="Arial" w:eastAsia="Arial" w:hAnsi="Arial" w:cs="Arial"/>
          <w:b/>
          <w:sz w:val="24"/>
        </w:rPr>
        <w:t>Palavras-chave:</w:t>
      </w:r>
      <w:r w:rsidRPr="00206FAB">
        <w:rPr>
          <w:rFonts w:ascii="Arial" w:eastAsia="Arial" w:hAnsi="Arial" w:cs="Arial"/>
          <w:sz w:val="24"/>
        </w:rPr>
        <w:t xml:space="preserve"> Aquífero Cauê, perfilagem geofísica, hidrogeologia.</w:t>
      </w:r>
    </w:p>
    <w:p w14:paraId="2058DFD8" w14:textId="77777777" w:rsidR="00206FAB" w:rsidRPr="00206FAB" w:rsidRDefault="00206FAB" w:rsidP="00206FAB">
      <w:pPr>
        <w:spacing w:line="480" w:lineRule="auto"/>
        <w:rPr>
          <w:rFonts w:ascii="Arial" w:eastAsia="Arial" w:hAnsi="Arial" w:cs="Arial"/>
          <w:b/>
          <w:sz w:val="24"/>
          <w:highlight w:val="yellow"/>
        </w:rPr>
      </w:pPr>
    </w:p>
    <w:p w14:paraId="0C901CD1" w14:textId="56D7B74C" w:rsidR="00E07BB3" w:rsidRPr="00206FAB" w:rsidRDefault="00E8653F">
      <w:pPr>
        <w:spacing w:line="480" w:lineRule="auto"/>
        <w:jc w:val="both"/>
        <w:rPr>
          <w:rFonts w:ascii="Arial" w:eastAsia="Arial" w:hAnsi="Arial" w:cs="Arial"/>
          <w:b/>
          <w:sz w:val="24"/>
          <w:lang w:val="en-US"/>
        </w:rPr>
      </w:pPr>
      <w:r w:rsidRPr="00206FAB">
        <w:rPr>
          <w:rFonts w:ascii="Arial" w:eastAsia="Arial" w:hAnsi="Arial" w:cs="Arial"/>
          <w:b/>
          <w:sz w:val="24"/>
          <w:lang w:val="en-US"/>
        </w:rPr>
        <w:t>Abstract:</w:t>
      </w:r>
      <w:r w:rsidRPr="00206FAB">
        <w:rPr>
          <w:rFonts w:ascii="Arial" w:eastAsia="Arial" w:hAnsi="Arial" w:cs="Arial"/>
          <w:sz w:val="24"/>
          <w:lang w:val="en-US"/>
        </w:rPr>
        <w:t xml:space="preserve"> This article </w:t>
      </w:r>
      <w:r w:rsidR="001D1A50">
        <w:rPr>
          <w:rFonts w:ascii="Arial" w:eastAsia="Arial" w:hAnsi="Arial" w:cs="Arial"/>
          <w:sz w:val="24"/>
          <w:lang w:val="en-US"/>
        </w:rPr>
        <w:t>deals with</w:t>
      </w:r>
      <w:r w:rsidR="001D1A50" w:rsidRPr="00206FAB">
        <w:rPr>
          <w:rFonts w:ascii="Arial" w:eastAsia="Arial" w:hAnsi="Arial" w:cs="Arial"/>
          <w:sz w:val="24"/>
          <w:lang w:val="en-US"/>
        </w:rPr>
        <w:t xml:space="preserve"> </w:t>
      </w:r>
      <w:r w:rsidRPr="00206FAB">
        <w:rPr>
          <w:rFonts w:ascii="Arial" w:eastAsia="Arial" w:hAnsi="Arial" w:cs="Arial"/>
          <w:sz w:val="24"/>
          <w:lang w:val="en-US"/>
        </w:rPr>
        <w:t>a lithological-hydrological integration based on geophysical logging in deep wells. Its objective is to compare and define the most favorable lithotypes to groundwater prospection in the studied area. The methodology comprised well logging analysis together with the lithology and specific flow rate of each well. In the Cauê aquifer, the soft lithologies are more propense to have water than compact lithotypes. Furthermore, hematite is richer in water than itabirite, although the water quantity varies in different kinds of itabirite.</w:t>
      </w:r>
    </w:p>
    <w:p w14:paraId="0FAE2C03" w14:textId="77777777" w:rsidR="00E07BB3" w:rsidRPr="00CA3984" w:rsidRDefault="00E8653F">
      <w:pPr>
        <w:spacing w:line="480" w:lineRule="auto"/>
        <w:rPr>
          <w:rFonts w:ascii="Arial" w:eastAsia="Arial" w:hAnsi="Arial" w:cs="Arial"/>
          <w:lang w:val="en-US"/>
        </w:rPr>
      </w:pPr>
      <w:r w:rsidRPr="00206FAB">
        <w:rPr>
          <w:rFonts w:ascii="Arial" w:eastAsia="Arial" w:hAnsi="Arial" w:cs="Arial"/>
          <w:b/>
          <w:sz w:val="24"/>
          <w:lang w:val="en-US"/>
        </w:rPr>
        <w:t>Keywords:</w:t>
      </w:r>
      <w:r w:rsidRPr="00206FAB">
        <w:rPr>
          <w:rFonts w:ascii="Arial" w:eastAsia="Arial" w:hAnsi="Arial" w:cs="Arial"/>
          <w:sz w:val="24"/>
          <w:lang w:val="en-US"/>
        </w:rPr>
        <w:t xml:space="preserve"> Cauê aquifer, geophysical logging, hydrogeology.</w:t>
      </w:r>
    </w:p>
    <w:p w14:paraId="27DB1767" w14:textId="77777777" w:rsidR="00E07BB3" w:rsidRPr="00CA3984" w:rsidRDefault="00E8653F">
      <w:pPr>
        <w:numPr>
          <w:ilvl w:val="0"/>
          <w:numId w:val="2"/>
        </w:numPr>
        <w:spacing w:line="480" w:lineRule="auto"/>
        <w:ind w:left="0" w:firstLine="0"/>
        <w:jc w:val="both"/>
        <w:rPr>
          <w:rFonts w:ascii="Arial" w:eastAsia="Arial" w:hAnsi="Arial" w:cs="Arial"/>
        </w:rPr>
      </w:pPr>
      <w:r w:rsidRPr="00CA3984">
        <w:rPr>
          <w:rFonts w:ascii="Arial" w:eastAsia="Arial" w:hAnsi="Arial" w:cs="Arial"/>
          <w:b/>
          <w:smallCaps/>
          <w:sz w:val="24"/>
          <w:szCs w:val="24"/>
        </w:rPr>
        <w:lastRenderedPageBreak/>
        <w:t>INTRODUÇÃO</w:t>
      </w:r>
    </w:p>
    <w:p w14:paraId="5F8EC161" w14:textId="017FBE59" w:rsidR="00B54031" w:rsidRDefault="00E8653F" w:rsidP="00CA3984">
      <w:pPr>
        <w:spacing w:line="480" w:lineRule="auto"/>
        <w:ind w:firstLine="720"/>
        <w:jc w:val="both"/>
      </w:pPr>
      <w:r w:rsidRPr="00CA3984">
        <w:rPr>
          <w:rFonts w:ascii="Arial" w:eastAsia="Arial" w:hAnsi="Arial" w:cs="Arial"/>
          <w:sz w:val="24"/>
          <w:szCs w:val="24"/>
        </w:rPr>
        <w:t>Por constituir uma das maiores províncias minerais do Brasil e abrigar importantes minas de ouro e de minério de ferro, o Quadrilátero Ferrífero (QF) é alvo de estudos geológicos tanto pela sua complexidade estrutural e tectônica quanto por sua importância econômica.</w:t>
      </w:r>
      <w:r w:rsidR="00FA2EB6">
        <w:rPr>
          <w:rFonts w:ascii="Arial" w:eastAsia="Arial" w:hAnsi="Arial" w:cs="Arial"/>
          <w:sz w:val="24"/>
          <w:szCs w:val="24"/>
        </w:rPr>
        <w:t xml:space="preserve"> </w:t>
      </w:r>
      <w:r w:rsidR="00FA2EB6" w:rsidRPr="00EE6961">
        <w:rPr>
          <w:rFonts w:ascii="Arial" w:eastAsia="Arial" w:hAnsi="Arial" w:cs="Arial"/>
          <w:sz w:val="24"/>
          <w:szCs w:val="24"/>
        </w:rPr>
        <w:t>Dentre outros, citam-se os trabalhos de Rosière (1981)</w:t>
      </w:r>
      <w:r w:rsidR="00A137E5" w:rsidRPr="00EE6961">
        <w:rPr>
          <w:rFonts w:ascii="Arial" w:eastAsia="Arial" w:hAnsi="Arial" w:cs="Arial"/>
          <w:sz w:val="24"/>
          <w:szCs w:val="24"/>
        </w:rPr>
        <w:t xml:space="preserve">, </w:t>
      </w:r>
      <w:r w:rsidR="00FA2EB6" w:rsidRPr="00EE6961">
        <w:rPr>
          <w:rFonts w:ascii="Arial" w:eastAsia="Arial" w:hAnsi="Arial" w:cs="Arial"/>
          <w:sz w:val="24"/>
          <w:szCs w:val="24"/>
        </w:rPr>
        <w:t>Chemale Jr. et al. (1987)</w:t>
      </w:r>
      <w:r w:rsidR="00B54031" w:rsidRPr="00EE6961">
        <w:rPr>
          <w:rFonts w:ascii="Arial" w:eastAsia="Arial" w:hAnsi="Arial" w:cs="Arial"/>
          <w:sz w:val="24"/>
          <w:szCs w:val="24"/>
        </w:rPr>
        <w:t xml:space="preserve">, </w:t>
      </w:r>
      <w:r w:rsidR="00FA2EB6" w:rsidRPr="00EE6961">
        <w:rPr>
          <w:rFonts w:ascii="Arial" w:eastAsia="Arial" w:hAnsi="Arial" w:cs="Arial"/>
          <w:sz w:val="24"/>
          <w:szCs w:val="24"/>
        </w:rPr>
        <w:t xml:space="preserve"> Rosière </w:t>
      </w:r>
      <w:r w:rsidR="00A137E5" w:rsidRPr="00EE6961">
        <w:rPr>
          <w:rFonts w:ascii="Arial" w:eastAsia="Arial" w:hAnsi="Arial" w:cs="Arial"/>
          <w:sz w:val="24"/>
          <w:szCs w:val="24"/>
        </w:rPr>
        <w:t>(1992), Zavaglia</w:t>
      </w:r>
      <w:r w:rsidR="00FA2EB6" w:rsidRPr="00EE6961">
        <w:rPr>
          <w:rFonts w:ascii="Arial" w:eastAsia="Arial" w:hAnsi="Arial" w:cs="Arial"/>
          <w:sz w:val="24"/>
          <w:szCs w:val="24"/>
        </w:rPr>
        <w:t xml:space="preserve"> </w:t>
      </w:r>
      <w:r w:rsidR="00A137E5" w:rsidRPr="00EE6961">
        <w:rPr>
          <w:rFonts w:ascii="Arial" w:eastAsia="Arial" w:hAnsi="Arial" w:cs="Arial"/>
          <w:sz w:val="24"/>
          <w:szCs w:val="24"/>
        </w:rPr>
        <w:t>(</w:t>
      </w:r>
      <w:r w:rsidR="00FA2EB6" w:rsidRPr="00EE6961">
        <w:rPr>
          <w:rFonts w:ascii="Arial" w:eastAsia="Arial" w:hAnsi="Arial" w:cs="Arial"/>
          <w:sz w:val="24"/>
          <w:szCs w:val="24"/>
        </w:rPr>
        <w:t>1995</w:t>
      </w:r>
      <w:r w:rsidR="00A137E5" w:rsidRPr="00EE6961">
        <w:rPr>
          <w:rFonts w:ascii="Arial" w:eastAsia="Arial" w:hAnsi="Arial" w:cs="Arial"/>
          <w:sz w:val="24"/>
          <w:szCs w:val="24"/>
        </w:rPr>
        <w:t>)</w:t>
      </w:r>
      <w:r w:rsidR="00FA2EB6" w:rsidRPr="00EE6961">
        <w:rPr>
          <w:rFonts w:ascii="Arial" w:eastAsia="Arial" w:hAnsi="Arial" w:cs="Arial"/>
          <w:sz w:val="24"/>
          <w:szCs w:val="24"/>
        </w:rPr>
        <w:t xml:space="preserve">, Rosière et al. </w:t>
      </w:r>
      <w:r w:rsidR="00A137E5" w:rsidRPr="00EE6961">
        <w:rPr>
          <w:rFonts w:ascii="Arial" w:eastAsia="Arial" w:hAnsi="Arial" w:cs="Arial"/>
          <w:sz w:val="24"/>
          <w:szCs w:val="24"/>
        </w:rPr>
        <w:t>(</w:t>
      </w:r>
      <w:r w:rsidR="00FA2EB6" w:rsidRPr="00EE6961">
        <w:rPr>
          <w:rFonts w:ascii="Arial" w:eastAsia="Arial" w:hAnsi="Arial" w:cs="Arial"/>
          <w:sz w:val="24"/>
          <w:szCs w:val="24"/>
        </w:rPr>
        <w:t>1995</w:t>
      </w:r>
      <w:r w:rsidR="00A137E5" w:rsidRPr="00EE6961">
        <w:rPr>
          <w:rFonts w:ascii="Arial" w:eastAsia="Arial" w:hAnsi="Arial" w:cs="Arial"/>
          <w:sz w:val="24"/>
          <w:szCs w:val="24"/>
        </w:rPr>
        <w:t>)</w:t>
      </w:r>
      <w:r w:rsidR="00B54031" w:rsidRPr="00EE6961">
        <w:rPr>
          <w:rFonts w:ascii="Arial" w:eastAsia="Arial" w:hAnsi="Arial" w:cs="Arial"/>
          <w:sz w:val="24"/>
          <w:szCs w:val="24"/>
        </w:rPr>
        <w:t>, Endo (1997), Alkmim e Marshak (1998) e Baltazar e Zucchetti (2000)</w:t>
      </w:r>
      <w:r w:rsidR="00A137E5" w:rsidRPr="00EE6961">
        <w:rPr>
          <w:rFonts w:ascii="Arial" w:eastAsia="Arial" w:hAnsi="Arial" w:cs="Arial"/>
          <w:sz w:val="24"/>
          <w:szCs w:val="24"/>
        </w:rPr>
        <w:t>.</w:t>
      </w:r>
      <w:r w:rsidR="00A137E5" w:rsidRPr="00EE6961">
        <w:t xml:space="preserve"> </w:t>
      </w:r>
    </w:p>
    <w:p w14:paraId="1B1D999F" w14:textId="48F642BA" w:rsidR="00E07BB3" w:rsidRPr="00D42215" w:rsidRDefault="00E8653F" w:rsidP="00CA3984">
      <w:pPr>
        <w:spacing w:line="480" w:lineRule="auto"/>
        <w:ind w:firstLine="720"/>
        <w:jc w:val="both"/>
        <w:rPr>
          <w:rFonts w:ascii="Arial" w:eastAsia="Arial" w:hAnsi="Arial" w:cs="Arial"/>
          <w:color w:val="auto"/>
          <w:sz w:val="24"/>
          <w:szCs w:val="24"/>
        </w:rPr>
      </w:pPr>
      <w:r w:rsidRPr="00CA3984">
        <w:rPr>
          <w:rFonts w:ascii="Arial" w:eastAsia="Arial" w:hAnsi="Arial" w:cs="Arial"/>
          <w:sz w:val="24"/>
          <w:szCs w:val="24"/>
        </w:rPr>
        <w:t>A Formação Cauê, onde estão as formações ferríferas é, entretanto, um dos melhores aquíferos da região, de modo que seu estudo é essencial</w:t>
      </w:r>
      <w:r w:rsidR="00E34214">
        <w:rPr>
          <w:rFonts w:ascii="Arial" w:eastAsia="Arial" w:hAnsi="Arial" w:cs="Arial"/>
          <w:sz w:val="24"/>
          <w:szCs w:val="24"/>
        </w:rPr>
        <w:t>,</w:t>
      </w:r>
      <w:r w:rsidRPr="00CA3984">
        <w:rPr>
          <w:rFonts w:ascii="Arial" w:eastAsia="Arial" w:hAnsi="Arial" w:cs="Arial"/>
          <w:sz w:val="24"/>
          <w:szCs w:val="24"/>
        </w:rPr>
        <w:t xml:space="preserve"> tanto para abastecimento da população como para o manejo da mineração. Neste contexto, a prospecção de água subterrânea com o uso da geofísica é crescente, uma vez que a perfilagem permite </w:t>
      </w:r>
      <w:r w:rsidR="001D1A50">
        <w:rPr>
          <w:rFonts w:ascii="Arial" w:eastAsia="Arial" w:hAnsi="Arial" w:cs="Arial"/>
          <w:sz w:val="24"/>
          <w:szCs w:val="24"/>
        </w:rPr>
        <w:t>estimar</w:t>
      </w:r>
      <w:r w:rsidRPr="00CA3984">
        <w:rPr>
          <w:rFonts w:ascii="Arial" w:eastAsia="Arial" w:hAnsi="Arial" w:cs="Arial"/>
          <w:sz w:val="24"/>
          <w:szCs w:val="24"/>
        </w:rPr>
        <w:t xml:space="preserve">, </w:t>
      </w:r>
      <w:r w:rsidRPr="00CA3984">
        <w:rPr>
          <w:rFonts w:ascii="Arial" w:eastAsia="Arial" w:hAnsi="Arial" w:cs="Arial"/>
          <w:i/>
          <w:sz w:val="24"/>
          <w:szCs w:val="24"/>
        </w:rPr>
        <w:t>in situ</w:t>
      </w:r>
      <w:r w:rsidRPr="00CA3984">
        <w:rPr>
          <w:rFonts w:ascii="Arial" w:eastAsia="Arial" w:hAnsi="Arial" w:cs="Arial"/>
          <w:sz w:val="24"/>
          <w:szCs w:val="24"/>
        </w:rPr>
        <w:t xml:space="preserve">, propriedades </w:t>
      </w:r>
      <w:r w:rsidR="001D1A50">
        <w:rPr>
          <w:rFonts w:ascii="Arial" w:eastAsia="Arial" w:hAnsi="Arial" w:cs="Arial"/>
          <w:sz w:val="24"/>
          <w:szCs w:val="24"/>
        </w:rPr>
        <w:t xml:space="preserve">petrofísicas </w:t>
      </w:r>
      <w:r w:rsidRPr="00CA3984">
        <w:rPr>
          <w:rFonts w:ascii="Arial" w:eastAsia="Arial" w:hAnsi="Arial" w:cs="Arial"/>
          <w:sz w:val="24"/>
          <w:szCs w:val="24"/>
        </w:rPr>
        <w:t xml:space="preserve">das rochas e os fluidos que </w:t>
      </w:r>
      <w:r w:rsidRPr="00D42215">
        <w:rPr>
          <w:rFonts w:ascii="Arial" w:eastAsia="Arial" w:hAnsi="Arial" w:cs="Arial"/>
          <w:color w:val="auto"/>
          <w:sz w:val="24"/>
          <w:szCs w:val="24"/>
        </w:rPr>
        <w:t xml:space="preserve">elas contêm. </w:t>
      </w:r>
    </w:p>
    <w:p w14:paraId="599B1C03" w14:textId="6FD7C8DF" w:rsidR="00E07BB3" w:rsidRPr="00CA3984" w:rsidRDefault="00E8653F" w:rsidP="00CA3984">
      <w:pPr>
        <w:spacing w:line="480" w:lineRule="auto"/>
        <w:ind w:firstLine="720"/>
        <w:jc w:val="both"/>
        <w:rPr>
          <w:rFonts w:ascii="Arial" w:eastAsia="Arial" w:hAnsi="Arial" w:cs="Arial"/>
          <w:sz w:val="24"/>
          <w:szCs w:val="24"/>
        </w:rPr>
      </w:pPr>
      <w:r w:rsidRPr="00D42215">
        <w:rPr>
          <w:rFonts w:ascii="Arial" w:eastAsia="Arial" w:hAnsi="Arial" w:cs="Arial"/>
          <w:color w:val="auto"/>
          <w:sz w:val="24"/>
          <w:szCs w:val="24"/>
        </w:rPr>
        <w:t xml:space="preserve">Sabe-se que </w:t>
      </w:r>
      <w:r w:rsidR="00E4179C" w:rsidRPr="00D42215">
        <w:rPr>
          <w:rFonts w:ascii="Arial" w:eastAsia="Arial" w:hAnsi="Arial" w:cs="Arial"/>
          <w:color w:val="auto"/>
          <w:sz w:val="24"/>
          <w:szCs w:val="24"/>
        </w:rPr>
        <w:t>n</w:t>
      </w:r>
      <w:r w:rsidRPr="00D42215">
        <w:rPr>
          <w:rFonts w:ascii="Arial" w:eastAsia="Arial" w:hAnsi="Arial" w:cs="Arial"/>
          <w:color w:val="auto"/>
          <w:sz w:val="24"/>
          <w:szCs w:val="24"/>
        </w:rPr>
        <w:t xml:space="preserve">as rochas sedimentares, </w:t>
      </w:r>
      <w:r w:rsidR="00E4179C" w:rsidRPr="00D42215">
        <w:rPr>
          <w:rFonts w:ascii="Arial" w:eastAsia="Arial" w:hAnsi="Arial" w:cs="Arial"/>
          <w:color w:val="auto"/>
          <w:sz w:val="24"/>
          <w:szCs w:val="24"/>
        </w:rPr>
        <w:t>a circulação de águas se faz através de poros e gr</w:t>
      </w:r>
      <w:r w:rsidR="00B12050" w:rsidRPr="00D42215">
        <w:rPr>
          <w:rFonts w:ascii="Arial" w:eastAsia="Arial" w:hAnsi="Arial" w:cs="Arial"/>
          <w:color w:val="auto"/>
          <w:sz w:val="24"/>
          <w:szCs w:val="24"/>
        </w:rPr>
        <w:t>ãos</w:t>
      </w:r>
      <w:r w:rsidR="00B12050" w:rsidRPr="00D42215">
        <w:rPr>
          <w:rFonts w:ascii="Arial" w:eastAsia="Arial" w:hAnsi="Arial" w:cs="Arial"/>
          <w:sz w:val="24"/>
          <w:szCs w:val="24"/>
        </w:rPr>
        <w:t>.</w:t>
      </w:r>
      <w:r w:rsidRPr="00CA3984">
        <w:rPr>
          <w:rFonts w:ascii="Arial" w:eastAsia="Arial" w:hAnsi="Arial" w:cs="Arial"/>
          <w:sz w:val="24"/>
          <w:szCs w:val="24"/>
        </w:rPr>
        <w:t xml:space="preserve"> Em rochas ígneas ou metamórficas as condições aquíferas relacionam-se a zonas fraturadas (fissuradas) ou muito alteradas. A competência destas rochas não favorece tais condições de fraturamento, entretanto, quando bem desenvolvidas, as fraturas </w:t>
      </w:r>
      <w:r w:rsidR="00E34214">
        <w:rPr>
          <w:rFonts w:ascii="Arial" w:eastAsia="Arial" w:hAnsi="Arial" w:cs="Arial"/>
          <w:sz w:val="24"/>
          <w:szCs w:val="24"/>
        </w:rPr>
        <w:t>constituem</w:t>
      </w:r>
      <w:r w:rsidR="00E34214" w:rsidRPr="00CA3984">
        <w:rPr>
          <w:rFonts w:ascii="Arial" w:eastAsia="Arial" w:hAnsi="Arial" w:cs="Arial"/>
          <w:sz w:val="24"/>
          <w:szCs w:val="24"/>
        </w:rPr>
        <w:t xml:space="preserve"> </w:t>
      </w:r>
      <w:r w:rsidRPr="00CA3984">
        <w:rPr>
          <w:rFonts w:ascii="Arial" w:eastAsia="Arial" w:hAnsi="Arial" w:cs="Arial"/>
          <w:sz w:val="24"/>
          <w:szCs w:val="24"/>
        </w:rPr>
        <w:t>uma zona preferencial para o fluxo subterrâneo. Assim, de maneira geral, as rochas sedimentares devido à sua porosidade primária tendem a ser, naturalmente, bons aquíferos. No entanto, o desenvolvimento de fraturas, falhas e dissoluções pode gerar uma porosidade secundária em rochas ígneas e metamórficas originando zonas de maior capacidade de transmissão de água e assim, fazendo com que as mesmas se tornem também excelentes aquíferos.</w:t>
      </w:r>
    </w:p>
    <w:p w14:paraId="2E8E8239" w14:textId="15A9AEE6" w:rsidR="00E07BB3" w:rsidRDefault="001D1A50" w:rsidP="00CA3984">
      <w:pPr>
        <w:spacing w:line="480" w:lineRule="auto"/>
        <w:ind w:firstLine="720"/>
        <w:jc w:val="both"/>
        <w:rPr>
          <w:rFonts w:ascii="Arial" w:eastAsia="Arial" w:hAnsi="Arial" w:cs="Arial"/>
          <w:sz w:val="24"/>
          <w:szCs w:val="24"/>
        </w:rPr>
      </w:pPr>
      <w:r>
        <w:rPr>
          <w:rFonts w:ascii="Arial" w:eastAsia="Arial" w:hAnsi="Arial" w:cs="Arial"/>
          <w:sz w:val="24"/>
          <w:szCs w:val="24"/>
        </w:rPr>
        <w:t>A escolha dos</w:t>
      </w:r>
      <w:r w:rsidRPr="00CA3984">
        <w:rPr>
          <w:rFonts w:ascii="Arial" w:eastAsia="Arial" w:hAnsi="Arial" w:cs="Arial"/>
          <w:sz w:val="24"/>
          <w:szCs w:val="24"/>
        </w:rPr>
        <w:t xml:space="preserve"> </w:t>
      </w:r>
      <w:r w:rsidR="00E8653F" w:rsidRPr="00CA3984">
        <w:rPr>
          <w:rFonts w:ascii="Arial" w:eastAsia="Arial" w:hAnsi="Arial" w:cs="Arial"/>
          <w:sz w:val="24"/>
          <w:szCs w:val="24"/>
        </w:rPr>
        <w:t xml:space="preserve">métodos utilizados na perfilagem </w:t>
      </w:r>
      <w:r>
        <w:rPr>
          <w:rFonts w:ascii="Arial" w:eastAsia="Arial" w:hAnsi="Arial" w:cs="Arial"/>
          <w:sz w:val="24"/>
          <w:szCs w:val="24"/>
        </w:rPr>
        <w:t xml:space="preserve">geofísica </w:t>
      </w:r>
      <w:r w:rsidR="00E8653F" w:rsidRPr="00CA3984">
        <w:rPr>
          <w:rFonts w:ascii="Arial" w:eastAsia="Arial" w:hAnsi="Arial" w:cs="Arial"/>
          <w:sz w:val="24"/>
          <w:szCs w:val="24"/>
        </w:rPr>
        <w:t>dependem d</w:t>
      </w:r>
      <w:r>
        <w:rPr>
          <w:rFonts w:ascii="Arial" w:eastAsia="Arial" w:hAnsi="Arial" w:cs="Arial"/>
          <w:sz w:val="24"/>
          <w:szCs w:val="24"/>
        </w:rPr>
        <w:t>o</w:t>
      </w:r>
      <w:r w:rsidR="00E8653F" w:rsidRPr="00CA3984">
        <w:rPr>
          <w:rFonts w:ascii="Arial" w:eastAsia="Arial" w:hAnsi="Arial" w:cs="Arial"/>
          <w:sz w:val="24"/>
          <w:szCs w:val="24"/>
        </w:rPr>
        <w:t xml:space="preserve"> </w:t>
      </w:r>
      <w:r>
        <w:rPr>
          <w:rFonts w:ascii="Arial" w:eastAsia="Arial" w:hAnsi="Arial" w:cs="Arial"/>
          <w:sz w:val="24"/>
          <w:szCs w:val="24"/>
        </w:rPr>
        <w:t>contexto</w:t>
      </w:r>
      <w:r w:rsidRPr="00CA3984">
        <w:rPr>
          <w:rFonts w:ascii="Arial" w:eastAsia="Arial" w:hAnsi="Arial" w:cs="Arial"/>
          <w:sz w:val="24"/>
          <w:szCs w:val="24"/>
        </w:rPr>
        <w:t xml:space="preserve"> </w:t>
      </w:r>
      <w:r w:rsidR="00E8653F" w:rsidRPr="00CA3984">
        <w:rPr>
          <w:rFonts w:ascii="Arial" w:eastAsia="Arial" w:hAnsi="Arial" w:cs="Arial"/>
          <w:sz w:val="24"/>
          <w:szCs w:val="24"/>
        </w:rPr>
        <w:t>geológic</w:t>
      </w:r>
      <w:r>
        <w:rPr>
          <w:rFonts w:ascii="Arial" w:eastAsia="Arial" w:hAnsi="Arial" w:cs="Arial"/>
          <w:sz w:val="24"/>
          <w:szCs w:val="24"/>
        </w:rPr>
        <w:t>o</w:t>
      </w:r>
      <w:r w:rsidR="00E8653F" w:rsidRPr="00CA3984">
        <w:rPr>
          <w:rFonts w:ascii="Arial" w:eastAsia="Arial" w:hAnsi="Arial" w:cs="Arial"/>
          <w:sz w:val="24"/>
          <w:szCs w:val="24"/>
        </w:rPr>
        <w:t xml:space="preserve"> e, em geral, seu estudo é realizado em poços tubulares profundos </w:t>
      </w:r>
      <w:r w:rsidR="00E8653F" w:rsidRPr="00CA3984">
        <w:rPr>
          <w:rFonts w:ascii="Arial" w:eastAsia="Arial" w:hAnsi="Arial" w:cs="Arial"/>
          <w:sz w:val="24"/>
          <w:szCs w:val="24"/>
        </w:rPr>
        <w:lastRenderedPageBreak/>
        <w:t xml:space="preserve">para explotação de água subterrânea. Além da </w:t>
      </w:r>
      <w:r w:rsidR="00E34214">
        <w:rPr>
          <w:rFonts w:ascii="Arial" w:eastAsia="Arial" w:hAnsi="Arial" w:cs="Arial"/>
          <w:sz w:val="24"/>
          <w:szCs w:val="24"/>
        </w:rPr>
        <w:t>perfilagem</w:t>
      </w:r>
      <w:r w:rsidR="00E8653F" w:rsidRPr="00CA3984">
        <w:rPr>
          <w:rFonts w:ascii="Arial" w:eastAsia="Arial" w:hAnsi="Arial" w:cs="Arial"/>
          <w:sz w:val="24"/>
          <w:szCs w:val="24"/>
        </w:rPr>
        <w:t xml:space="preserve">, são realizados testes de bombeamento para avaliar a produtividade do poço (vazão) e determinar parâmetros hidrodinâmicos do aquífero. Este trabalho procura definir, na área de estudo, os litotipos mais favoráveis para prospecção de água subterrânea </w:t>
      </w:r>
      <w:r>
        <w:rPr>
          <w:rFonts w:ascii="Arial" w:eastAsia="Arial" w:hAnsi="Arial" w:cs="Arial"/>
          <w:sz w:val="24"/>
          <w:szCs w:val="24"/>
        </w:rPr>
        <w:t>por meio</w:t>
      </w:r>
      <w:r w:rsidRPr="00CA3984">
        <w:rPr>
          <w:rFonts w:ascii="Arial" w:eastAsia="Arial" w:hAnsi="Arial" w:cs="Arial"/>
          <w:sz w:val="24"/>
          <w:szCs w:val="24"/>
        </w:rPr>
        <w:t xml:space="preserve"> </w:t>
      </w:r>
      <w:r w:rsidR="00E8653F" w:rsidRPr="00CA3984">
        <w:rPr>
          <w:rFonts w:ascii="Arial" w:eastAsia="Arial" w:hAnsi="Arial" w:cs="Arial"/>
          <w:sz w:val="24"/>
          <w:szCs w:val="24"/>
        </w:rPr>
        <w:t>de correlações entre litologia, perfilagem geofísica e vazão específica.</w:t>
      </w:r>
    </w:p>
    <w:p w14:paraId="29A77710" w14:textId="77777777" w:rsidR="00D20170" w:rsidRPr="00CA3984" w:rsidRDefault="00D20170" w:rsidP="00CA3984">
      <w:pPr>
        <w:spacing w:line="480" w:lineRule="auto"/>
        <w:ind w:firstLine="720"/>
        <w:jc w:val="both"/>
        <w:rPr>
          <w:rFonts w:ascii="Arial" w:eastAsia="Arial" w:hAnsi="Arial" w:cs="Arial"/>
          <w:sz w:val="24"/>
          <w:szCs w:val="24"/>
        </w:rPr>
      </w:pPr>
    </w:p>
    <w:p w14:paraId="5CA6802F" w14:textId="77777777" w:rsidR="00E07BB3" w:rsidRPr="00CA3984" w:rsidRDefault="00E8653F">
      <w:pPr>
        <w:numPr>
          <w:ilvl w:val="0"/>
          <w:numId w:val="2"/>
        </w:numPr>
        <w:spacing w:line="480" w:lineRule="auto"/>
        <w:ind w:left="0" w:firstLine="0"/>
        <w:jc w:val="both"/>
        <w:rPr>
          <w:rFonts w:ascii="Arial" w:eastAsia="Arial" w:hAnsi="Arial" w:cs="Arial"/>
        </w:rPr>
      </w:pPr>
      <w:r w:rsidRPr="00CA3984">
        <w:rPr>
          <w:rFonts w:ascii="Arial" w:eastAsia="Arial" w:hAnsi="Arial" w:cs="Arial"/>
          <w:b/>
          <w:smallCaps/>
          <w:sz w:val="24"/>
          <w:szCs w:val="24"/>
        </w:rPr>
        <w:t>CARACTERIZAÇÃO DA ÁREA DE ESTUDO</w:t>
      </w:r>
    </w:p>
    <w:p w14:paraId="7A906163" w14:textId="77777777" w:rsidR="00E07BB3" w:rsidRPr="00CA3984" w:rsidRDefault="00E8653F" w:rsidP="00CA3984">
      <w:pPr>
        <w:spacing w:line="480" w:lineRule="auto"/>
        <w:ind w:firstLine="720"/>
        <w:jc w:val="both"/>
        <w:rPr>
          <w:rFonts w:ascii="Arial" w:eastAsia="Arial" w:hAnsi="Arial" w:cs="Arial"/>
          <w:sz w:val="24"/>
          <w:szCs w:val="24"/>
        </w:rPr>
      </w:pPr>
      <w:r w:rsidRPr="00CA3984">
        <w:rPr>
          <w:rFonts w:ascii="Arial" w:eastAsia="Arial" w:hAnsi="Arial" w:cs="Arial"/>
          <w:sz w:val="24"/>
          <w:szCs w:val="24"/>
        </w:rPr>
        <w:t>A região do estudo localiza-se na porção sudoeste do Quadrilátero Ferrífero</w:t>
      </w:r>
      <w:r w:rsidR="001D1A50">
        <w:rPr>
          <w:rFonts w:ascii="Arial" w:eastAsia="Arial" w:hAnsi="Arial" w:cs="Arial"/>
          <w:sz w:val="24"/>
          <w:szCs w:val="24"/>
        </w:rPr>
        <w:t xml:space="preserve"> (QF)</w:t>
      </w:r>
      <w:r w:rsidRPr="00CA3984">
        <w:rPr>
          <w:rFonts w:ascii="Arial" w:eastAsia="Arial" w:hAnsi="Arial" w:cs="Arial"/>
          <w:sz w:val="24"/>
          <w:szCs w:val="24"/>
        </w:rPr>
        <w:t>, próxima à cidade de Congonhas (MG). O Quadrilátero Ferrífero (DORR</w:t>
      </w:r>
      <w:r w:rsidR="001D1A50">
        <w:rPr>
          <w:rFonts w:ascii="Arial" w:eastAsia="Arial" w:hAnsi="Arial" w:cs="Arial"/>
          <w:sz w:val="24"/>
          <w:szCs w:val="24"/>
        </w:rPr>
        <w:t xml:space="preserve"> II</w:t>
      </w:r>
      <w:r w:rsidRPr="00CA3984">
        <w:rPr>
          <w:rFonts w:ascii="Arial" w:eastAsia="Arial" w:hAnsi="Arial" w:cs="Arial"/>
          <w:sz w:val="24"/>
          <w:szCs w:val="24"/>
        </w:rPr>
        <w:t>, 1969) é uma unidade geotectônica que aflora no sul do cráton São Francisco (ALMEIDA, 1977) e abrange uma área aproximada de 7.000</w:t>
      </w:r>
      <w:r w:rsidR="001D1A50">
        <w:rPr>
          <w:rFonts w:ascii="Arial" w:eastAsia="Arial" w:hAnsi="Arial" w:cs="Arial"/>
          <w:sz w:val="24"/>
          <w:szCs w:val="24"/>
        </w:rPr>
        <w:t xml:space="preserve"> </w:t>
      </w:r>
      <w:r w:rsidRPr="00CA3984">
        <w:rPr>
          <w:rFonts w:ascii="Arial" w:eastAsia="Arial" w:hAnsi="Arial" w:cs="Arial"/>
          <w:sz w:val="24"/>
          <w:szCs w:val="24"/>
        </w:rPr>
        <w:t>km</w:t>
      </w:r>
      <w:r w:rsidRPr="00CA3984">
        <w:rPr>
          <w:rFonts w:ascii="Arial" w:eastAsia="Arial" w:hAnsi="Arial" w:cs="Arial"/>
          <w:sz w:val="24"/>
          <w:szCs w:val="24"/>
          <w:vertAlign w:val="superscript"/>
        </w:rPr>
        <w:t>2</w:t>
      </w:r>
      <w:r w:rsidRPr="00CA3984">
        <w:rPr>
          <w:rFonts w:ascii="Arial" w:eastAsia="Arial" w:hAnsi="Arial" w:cs="Arial"/>
          <w:sz w:val="24"/>
          <w:szCs w:val="24"/>
        </w:rPr>
        <w:t xml:space="preserve">. Trata-se de uma região montanhosa designada como "Quadrilátero" em função da morfologia quadrangular propiciada pela disposição de sinclinais (BARBOSA, 2012). Já a designação "Ferrífero" provém da formação ferrífera bandada presente na região. </w:t>
      </w:r>
    </w:p>
    <w:p w14:paraId="0FF51CC3" w14:textId="65C78167" w:rsidR="00E07BB3" w:rsidRPr="00CA3984" w:rsidRDefault="00E8653F" w:rsidP="00CA3984">
      <w:pPr>
        <w:spacing w:line="480" w:lineRule="auto"/>
        <w:ind w:firstLine="720"/>
        <w:jc w:val="both"/>
        <w:rPr>
          <w:rFonts w:ascii="Arial" w:hAnsi="Arial" w:cs="Arial"/>
          <w:sz w:val="24"/>
          <w:szCs w:val="24"/>
        </w:rPr>
      </w:pPr>
      <w:r w:rsidRPr="00CA3984">
        <w:rPr>
          <w:rFonts w:ascii="Arial" w:eastAsia="Arial" w:hAnsi="Arial" w:cs="Arial"/>
          <w:sz w:val="24"/>
          <w:szCs w:val="24"/>
        </w:rPr>
        <w:t>O QF já foi afetado por, pelo menos, três ciclos orogênicos: Jequié (2</w:t>
      </w:r>
      <w:r w:rsidR="001D1A50">
        <w:rPr>
          <w:rFonts w:ascii="Arial" w:eastAsia="Arial" w:hAnsi="Arial" w:cs="Arial"/>
          <w:sz w:val="24"/>
          <w:szCs w:val="24"/>
        </w:rPr>
        <w:t>,</w:t>
      </w:r>
      <w:r w:rsidRPr="00CA3984">
        <w:rPr>
          <w:rFonts w:ascii="Arial" w:eastAsia="Arial" w:hAnsi="Arial" w:cs="Arial"/>
          <w:sz w:val="24"/>
          <w:szCs w:val="24"/>
        </w:rPr>
        <w:t>7-2</w:t>
      </w:r>
      <w:r w:rsidR="001D1A50">
        <w:rPr>
          <w:rFonts w:ascii="Arial" w:eastAsia="Arial" w:hAnsi="Arial" w:cs="Arial"/>
          <w:sz w:val="24"/>
          <w:szCs w:val="24"/>
        </w:rPr>
        <w:t>,</w:t>
      </w:r>
      <w:r w:rsidRPr="00CA3984">
        <w:rPr>
          <w:rFonts w:ascii="Arial" w:eastAsia="Arial" w:hAnsi="Arial" w:cs="Arial"/>
          <w:sz w:val="24"/>
          <w:szCs w:val="24"/>
        </w:rPr>
        <w:t>5</w:t>
      </w:r>
      <w:r w:rsidR="001D1A50">
        <w:rPr>
          <w:rFonts w:ascii="Arial" w:eastAsia="Arial" w:hAnsi="Arial" w:cs="Arial"/>
          <w:sz w:val="24"/>
          <w:szCs w:val="24"/>
        </w:rPr>
        <w:t xml:space="preserve"> </w:t>
      </w:r>
      <w:r w:rsidRPr="00CA3984">
        <w:rPr>
          <w:rFonts w:ascii="Arial" w:eastAsia="Arial" w:hAnsi="Arial" w:cs="Arial"/>
          <w:sz w:val="24"/>
          <w:szCs w:val="24"/>
        </w:rPr>
        <w:t>Ga), Transamazônico (2</w:t>
      </w:r>
      <w:r w:rsidR="00E34214">
        <w:rPr>
          <w:rFonts w:ascii="Arial" w:eastAsia="Arial" w:hAnsi="Arial" w:cs="Arial"/>
          <w:sz w:val="24"/>
          <w:szCs w:val="24"/>
        </w:rPr>
        <w:t>,</w:t>
      </w:r>
      <w:r w:rsidRPr="00CA3984">
        <w:rPr>
          <w:rFonts w:ascii="Arial" w:eastAsia="Arial" w:hAnsi="Arial" w:cs="Arial"/>
          <w:sz w:val="24"/>
          <w:szCs w:val="24"/>
        </w:rPr>
        <w:t>1-1</w:t>
      </w:r>
      <w:r w:rsidR="00E34214">
        <w:rPr>
          <w:rFonts w:ascii="Arial" w:eastAsia="Arial" w:hAnsi="Arial" w:cs="Arial"/>
          <w:sz w:val="24"/>
          <w:szCs w:val="24"/>
        </w:rPr>
        <w:t>,</w:t>
      </w:r>
      <w:r w:rsidRPr="00CA3984">
        <w:rPr>
          <w:rFonts w:ascii="Arial" w:eastAsia="Arial" w:hAnsi="Arial" w:cs="Arial"/>
          <w:sz w:val="24"/>
          <w:szCs w:val="24"/>
        </w:rPr>
        <w:t>9</w:t>
      </w:r>
      <w:r w:rsidR="001D1A50">
        <w:rPr>
          <w:rFonts w:ascii="Arial" w:eastAsia="Arial" w:hAnsi="Arial" w:cs="Arial"/>
          <w:sz w:val="24"/>
          <w:szCs w:val="24"/>
        </w:rPr>
        <w:t xml:space="preserve"> </w:t>
      </w:r>
      <w:r w:rsidRPr="00CA3984">
        <w:rPr>
          <w:rFonts w:ascii="Arial" w:eastAsia="Arial" w:hAnsi="Arial" w:cs="Arial"/>
          <w:sz w:val="24"/>
          <w:szCs w:val="24"/>
        </w:rPr>
        <w:t>Ga) e Brasiliano (0</w:t>
      </w:r>
      <w:r w:rsidR="00E34214">
        <w:rPr>
          <w:rFonts w:ascii="Arial" w:eastAsia="Arial" w:hAnsi="Arial" w:cs="Arial"/>
          <w:sz w:val="24"/>
          <w:szCs w:val="24"/>
        </w:rPr>
        <w:t>,</w:t>
      </w:r>
      <w:r w:rsidRPr="00CA3984">
        <w:rPr>
          <w:rFonts w:ascii="Arial" w:eastAsia="Arial" w:hAnsi="Arial" w:cs="Arial"/>
          <w:sz w:val="24"/>
          <w:szCs w:val="24"/>
        </w:rPr>
        <w:t>7-0</w:t>
      </w:r>
      <w:r w:rsidR="00E34214">
        <w:rPr>
          <w:rFonts w:ascii="Arial" w:eastAsia="Arial" w:hAnsi="Arial" w:cs="Arial"/>
          <w:sz w:val="24"/>
          <w:szCs w:val="24"/>
        </w:rPr>
        <w:t>,</w:t>
      </w:r>
      <w:r w:rsidRPr="00CA3984">
        <w:rPr>
          <w:rFonts w:ascii="Arial" w:eastAsia="Arial" w:hAnsi="Arial" w:cs="Arial"/>
          <w:sz w:val="24"/>
          <w:szCs w:val="24"/>
        </w:rPr>
        <w:t>5</w:t>
      </w:r>
      <w:r w:rsidR="001D1A50">
        <w:rPr>
          <w:rFonts w:ascii="Arial" w:eastAsia="Arial" w:hAnsi="Arial" w:cs="Arial"/>
          <w:sz w:val="24"/>
          <w:szCs w:val="24"/>
        </w:rPr>
        <w:t xml:space="preserve"> </w:t>
      </w:r>
      <w:r w:rsidRPr="00CA3984">
        <w:rPr>
          <w:rFonts w:ascii="Arial" w:eastAsia="Arial" w:hAnsi="Arial" w:cs="Arial"/>
          <w:sz w:val="24"/>
          <w:szCs w:val="24"/>
        </w:rPr>
        <w:t>Ga) (ROSIÈRE &amp; CHEMALE JR, 2000). A área de estudo é um setor de grande complexidade geológica dada sua proximidade à zona de articulação entre duas estruturas regionais: Sinclinal Moeda, com traço axial aproximadamente N-S e o Sinclinal Dom Bosco, de estruturação geral E-W (Figura 1). Como reflexo estrutural é comum a presença de um grande número de falhas de empurrão e falhas transcorrentes</w:t>
      </w:r>
      <w:r w:rsidR="00F06829">
        <w:rPr>
          <w:rFonts w:ascii="Arial" w:eastAsia="Arial" w:hAnsi="Arial" w:cs="Arial"/>
          <w:sz w:val="24"/>
          <w:szCs w:val="24"/>
        </w:rPr>
        <w:t xml:space="preserve"> </w:t>
      </w:r>
      <w:r w:rsidR="00F06829" w:rsidRPr="00EE6961">
        <w:rPr>
          <w:rFonts w:ascii="Arial" w:eastAsia="Arial" w:hAnsi="Arial" w:cs="Arial"/>
          <w:sz w:val="24"/>
          <w:szCs w:val="24"/>
        </w:rPr>
        <w:t>(TRZASKOS et al., 2011)</w:t>
      </w:r>
      <w:r w:rsidRPr="00EE6961">
        <w:rPr>
          <w:rFonts w:ascii="Arial" w:eastAsia="Arial" w:hAnsi="Arial" w:cs="Arial"/>
          <w:sz w:val="24"/>
          <w:szCs w:val="24"/>
        </w:rPr>
        <w:t>.</w:t>
      </w:r>
      <w:r w:rsidRPr="00CA3984">
        <w:rPr>
          <w:rFonts w:ascii="Arial" w:eastAsia="Arial" w:hAnsi="Arial" w:cs="Arial"/>
          <w:sz w:val="24"/>
          <w:szCs w:val="24"/>
        </w:rPr>
        <w:t xml:space="preserve"> </w:t>
      </w:r>
    </w:p>
    <w:p w14:paraId="495D19D0" w14:textId="77777777" w:rsidR="00E07BB3" w:rsidRPr="00CA3984" w:rsidRDefault="001B39FB" w:rsidP="00CA3984">
      <w:pPr>
        <w:ind w:firstLine="284"/>
        <w:jc w:val="center"/>
        <w:rPr>
          <w:rFonts w:ascii="Arial" w:eastAsia="Arial" w:hAnsi="Arial" w:cs="Arial"/>
        </w:rPr>
      </w:pPr>
      <w:r w:rsidRPr="00CA3984">
        <w:rPr>
          <w:rFonts w:ascii="Arial" w:eastAsia="Arial" w:hAnsi="Arial" w:cs="Arial"/>
          <w:noProof/>
        </w:rPr>
        <w:lastRenderedPageBreak/>
        <w:drawing>
          <wp:inline distT="0" distB="0" distL="0" distR="0" wp14:anchorId="62D3F6C4" wp14:editId="395B66DB">
            <wp:extent cx="5945550" cy="2943225"/>
            <wp:effectExtent l="0" t="0" r="0" b="0"/>
            <wp:docPr id="2" name="Imagem 2" descr="C:\Users\julia\Downloads\Figura 1 - mapa Q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ulia\Downloads\Figura 1 - mapa QF.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51871" cy="2946354"/>
                    </a:xfrm>
                    <a:prstGeom prst="rect">
                      <a:avLst/>
                    </a:prstGeom>
                    <a:noFill/>
                    <a:ln>
                      <a:noFill/>
                    </a:ln>
                  </pic:spPr>
                </pic:pic>
              </a:graphicData>
            </a:graphic>
          </wp:inline>
        </w:drawing>
      </w:r>
    </w:p>
    <w:p w14:paraId="13B42A84" w14:textId="77777777" w:rsidR="00E07BB3" w:rsidRPr="00CA3984" w:rsidRDefault="00E8653F" w:rsidP="00D41945">
      <w:pPr>
        <w:rPr>
          <w:rFonts w:ascii="Arial" w:eastAsia="Arial" w:hAnsi="Arial" w:cs="Arial"/>
          <w:lang w:val="en-US"/>
        </w:rPr>
      </w:pPr>
      <w:r w:rsidRPr="007506F3">
        <w:rPr>
          <w:rFonts w:ascii="Arial" w:eastAsia="Arial" w:hAnsi="Arial" w:cs="Arial"/>
          <w:b/>
        </w:rPr>
        <w:t>Figura 1</w:t>
      </w:r>
      <w:r w:rsidRPr="00CA3984">
        <w:rPr>
          <w:rFonts w:ascii="Arial" w:eastAsia="Arial" w:hAnsi="Arial" w:cs="Arial"/>
        </w:rPr>
        <w:t xml:space="preserve"> </w:t>
      </w:r>
      <w:r w:rsidR="007506F3">
        <w:rPr>
          <w:rFonts w:ascii="Arial" w:eastAsia="Arial" w:hAnsi="Arial" w:cs="Arial"/>
        </w:rPr>
        <w:t>–</w:t>
      </w:r>
      <w:r w:rsidRPr="00CA3984">
        <w:rPr>
          <w:rFonts w:ascii="Arial" w:eastAsia="Arial" w:hAnsi="Arial" w:cs="Arial"/>
        </w:rPr>
        <w:t xml:space="preserve"> Mapa</w:t>
      </w:r>
      <w:r w:rsidR="007506F3">
        <w:rPr>
          <w:rFonts w:ascii="Arial" w:eastAsia="Arial" w:hAnsi="Arial" w:cs="Arial"/>
        </w:rPr>
        <w:t xml:space="preserve"> </w:t>
      </w:r>
      <w:r w:rsidRPr="00CA3984">
        <w:rPr>
          <w:rFonts w:ascii="Arial" w:eastAsia="Arial" w:hAnsi="Arial" w:cs="Arial"/>
        </w:rPr>
        <w:t xml:space="preserve">geológico simplificado do Quadrilátero Ferrífero e localização da área de estudo a sudoeste. </w:t>
      </w:r>
      <w:r w:rsidRPr="00CA3984">
        <w:rPr>
          <w:rFonts w:ascii="Arial" w:eastAsia="Arial" w:hAnsi="Arial" w:cs="Arial"/>
          <w:lang w:val="en-US"/>
        </w:rPr>
        <w:t>Adaptado de ROSSI &amp; ENDO (2015).</w:t>
      </w:r>
    </w:p>
    <w:p w14:paraId="01CFB74A" w14:textId="56EE7808" w:rsidR="00E07BB3" w:rsidRPr="00CA3984" w:rsidRDefault="00E8653F" w:rsidP="00D41945">
      <w:pPr>
        <w:rPr>
          <w:rFonts w:ascii="Arial" w:eastAsia="Arial" w:hAnsi="Arial" w:cs="Arial"/>
        </w:rPr>
      </w:pPr>
      <w:r w:rsidRPr="007506F3">
        <w:rPr>
          <w:rFonts w:ascii="Arial" w:eastAsia="Arial" w:hAnsi="Arial" w:cs="Arial"/>
          <w:b/>
          <w:lang w:val="en-US"/>
        </w:rPr>
        <w:t>Figure 1</w:t>
      </w:r>
      <w:r w:rsidRPr="00CA3984">
        <w:rPr>
          <w:rFonts w:ascii="Arial" w:eastAsia="Arial" w:hAnsi="Arial" w:cs="Arial"/>
          <w:lang w:val="en-US"/>
        </w:rPr>
        <w:t xml:space="preserve"> </w:t>
      </w:r>
      <w:r w:rsidR="007506F3">
        <w:rPr>
          <w:rFonts w:ascii="Arial" w:eastAsia="Arial" w:hAnsi="Arial" w:cs="Arial"/>
          <w:lang w:val="en-US"/>
        </w:rPr>
        <w:t>–</w:t>
      </w:r>
      <w:r w:rsidRPr="00CA3984">
        <w:rPr>
          <w:rFonts w:ascii="Arial" w:eastAsia="Arial" w:hAnsi="Arial" w:cs="Arial"/>
          <w:lang w:val="en-US"/>
        </w:rPr>
        <w:t xml:space="preserve"> Simplified geologic map of the Quadrilatero Ferrifero showing the localization of the studied area in the southwest</w:t>
      </w:r>
      <w:r w:rsidR="007262DD">
        <w:rPr>
          <w:rFonts w:ascii="Arial" w:eastAsia="Arial" w:hAnsi="Arial" w:cs="Arial"/>
          <w:lang w:val="en-US"/>
        </w:rPr>
        <w:t>ern</w:t>
      </w:r>
      <w:r w:rsidRPr="00CA3984">
        <w:rPr>
          <w:rFonts w:ascii="Arial" w:eastAsia="Arial" w:hAnsi="Arial" w:cs="Arial"/>
          <w:lang w:val="en-US"/>
        </w:rPr>
        <w:t xml:space="preserve"> portion. </w:t>
      </w:r>
      <w:r w:rsidRPr="00CA3984">
        <w:rPr>
          <w:rFonts w:ascii="Arial" w:eastAsia="Arial" w:hAnsi="Arial" w:cs="Arial"/>
        </w:rPr>
        <w:t>Adapted from ROSSI &amp; ENDO (2015).</w:t>
      </w:r>
    </w:p>
    <w:p w14:paraId="18B7413D" w14:textId="77777777" w:rsidR="00E07BB3" w:rsidRPr="00CA3984" w:rsidRDefault="00E07BB3">
      <w:pPr>
        <w:ind w:firstLine="284"/>
        <w:jc w:val="both"/>
        <w:rPr>
          <w:rFonts w:ascii="Arial" w:eastAsia="Arial" w:hAnsi="Arial" w:cs="Arial"/>
        </w:rPr>
      </w:pPr>
    </w:p>
    <w:p w14:paraId="494E9335" w14:textId="77777777" w:rsidR="00E07BB3" w:rsidRPr="00CA3984" w:rsidRDefault="00E07BB3">
      <w:pPr>
        <w:ind w:firstLine="284"/>
        <w:jc w:val="both"/>
        <w:rPr>
          <w:rFonts w:ascii="Arial" w:eastAsia="Arial" w:hAnsi="Arial" w:cs="Arial"/>
        </w:rPr>
      </w:pPr>
    </w:p>
    <w:p w14:paraId="6672451F" w14:textId="71FE3E73" w:rsidR="00E07BB3" w:rsidRDefault="00E8653F" w:rsidP="00CA3984">
      <w:pPr>
        <w:spacing w:line="480" w:lineRule="auto"/>
        <w:ind w:firstLine="720"/>
        <w:jc w:val="both"/>
        <w:rPr>
          <w:rFonts w:ascii="Arial" w:eastAsia="Arial" w:hAnsi="Arial" w:cs="Arial"/>
          <w:sz w:val="24"/>
          <w:szCs w:val="24"/>
        </w:rPr>
      </w:pPr>
      <w:r w:rsidRPr="00CA3984">
        <w:rPr>
          <w:rFonts w:ascii="Arial" w:eastAsia="Arial" w:hAnsi="Arial" w:cs="Arial"/>
          <w:sz w:val="24"/>
          <w:szCs w:val="24"/>
        </w:rPr>
        <w:t xml:space="preserve">A estratigrafia do </w:t>
      </w:r>
      <w:r w:rsidR="00E34214">
        <w:rPr>
          <w:rFonts w:ascii="Arial" w:eastAsia="Arial" w:hAnsi="Arial" w:cs="Arial"/>
          <w:sz w:val="24"/>
          <w:szCs w:val="24"/>
        </w:rPr>
        <w:t>QF</w:t>
      </w:r>
      <w:r w:rsidRPr="00CA3984">
        <w:rPr>
          <w:rFonts w:ascii="Arial" w:eastAsia="Arial" w:hAnsi="Arial" w:cs="Arial"/>
          <w:sz w:val="24"/>
          <w:szCs w:val="24"/>
        </w:rPr>
        <w:t xml:space="preserve"> é composta, da base para o topo, pelas seguintes unidades litoestratigráficas principais: terrenos granito-gnáissicos de idade arqueana (CARNEIRO, 1992); sequência metavulcano-sedimentar do tipo </w:t>
      </w:r>
      <w:r w:rsidRPr="00CA3984">
        <w:rPr>
          <w:rFonts w:ascii="Arial" w:eastAsia="Arial" w:hAnsi="Arial" w:cs="Arial"/>
          <w:i/>
          <w:sz w:val="24"/>
          <w:szCs w:val="24"/>
        </w:rPr>
        <w:t>greenstone belt</w:t>
      </w:r>
      <w:r w:rsidRPr="00CA3984">
        <w:rPr>
          <w:rFonts w:ascii="Arial" w:eastAsia="Arial" w:hAnsi="Arial" w:cs="Arial"/>
          <w:sz w:val="24"/>
          <w:szCs w:val="24"/>
        </w:rPr>
        <w:t xml:space="preserve">, que caracteriza o Supergrupo Rio das Velhas de idade arqueana (DORR II </w:t>
      </w:r>
      <w:r w:rsidR="007262DD">
        <w:rPr>
          <w:rFonts w:ascii="Arial" w:eastAsia="Arial" w:hAnsi="Arial" w:cs="Arial"/>
          <w:sz w:val="24"/>
          <w:szCs w:val="24"/>
        </w:rPr>
        <w:t xml:space="preserve">et al. </w:t>
      </w:r>
      <w:r w:rsidRPr="00CA3984">
        <w:rPr>
          <w:rFonts w:ascii="Arial" w:eastAsia="Arial" w:hAnsi="Arial" w:cs="Arial"/>
          <w:sz w:val="24"/>
          <w:szCs w:val="24"/>
        </w:rPr>
        <w:t>1957), e sequências metassedimentares paleoproterozóicas</w:t>
      </w:r>
      <w:r w:rsidR="007262DD">
        <w:rPr>
          <w:rFonts w:ascii="Arial" w:eastAsia="Arial" w:hAnsi="Arial" w:cs="Arial"/>
          <w:sz w:val="24"/>
          <w:szCs w:val="24"/>
        </w:rPr>
        <w:t>,</w:t>
      </w:r>
      <w:r w:rsidRPr="00CA3984">
        <w:rPr>
          <w:rFonts w:ascii="Arial" w:eastAsia="Arial" w:hAnsi="Arial" w:cs="Arial"/>
          <w:sz w:val="24"/>
          <w:szCs w:val="24"/>
        </w:rPr>
        <w:t xml:space="preserve"> que constituem o Supergrupo Minas e o Grupo Itacolomi (DORR</w:t>
      </w:r>
      <w:r w:rsidR="007262DD">
        <w:rPr>
          <w:rFonts w:ascii="Arial" w:eastAsia="Arial" w:hAnsi="Arial" w:cs="Arial"/>
          <w:sz w:val="24"/>
          <w:szCs w:val="24"/>
        </w:rPr>
        <w:t xml:space="preserve"> II</w:t>
      </w:r>
      <w:r w:rsidRPr="00CA3984">
        <w:rPr>
          <w:rFonts w:ascii="Arial" w:eastAsia="Arial" w:hAnsi="Arial" w:cs="Arial"/>
          <w:sz w:val="24"/>
          <w:szCs w:val="24"/>
        </w:rPr>
        <w:t xml:space="preserve">, 1969). Além de diques máficos intrusivos que cortam toda a sequência (ALKMIM &amp; MARSHAK, 1998). A coluna estratigráfica do QF pode ser vista na Figura 2. </w:t>
      </w:r>
    </w:p>
    <w:p w14:paraId="40D466B7" w14:textId="77777777" w:rsidR="006670B0" w:rsidRPr="00CA3984" w:rsidRDefault="006670B0" w:rsidP="006670B0">
      <w:pPr>
        <w:spacing w:line="480" w:lineRule="auto"/>
        <w:ind w:firstLine="720"/>
        <w:jc w:val="both"/>
        <w:rPr>
          <w:rFonts w:ascii="Arial" w:eastAsia="Arial" w:hAnsi="Arial" w:cs="Arial"/>
          <w:sz w:val="24"/>
          <w:szCs w:val="24"/>
        </w:rPr>
      </w:pPr>
      <w:r w:rsidRPr="00CA3984">
        <w:rPr>
          <w:rFonts w:ascii="Arial" w:eastAsia="Arial" w:hAnsi="Arial" w:cs="Arial"/>
          <w:sz w:val="24"/>
          <w:szCs w:val="24"/>
        </w:rPr>
        <w:t>Na área de estudo</w:t>
      </w:r>
      <w:r>
        <w:rPr>
          <w:rFonts w:ascii="Arial" w:eastAsia="Arial" w:hAnsi="Arial" w:cs="Arial"/>
          <w:sz w:val="24"/>
          <w:szCs w:val="24"/>
        </w:rPr>
        <w:t>,</w:t>
      </w:r>
      <w:r w:rsidRPr="00CA3984">
        <w:rPr>
          <w:rFonts w:ascii="Arial" w:eastAsia="Arial" w:hAnsi="Arial" w:cs="Arial"/>
          <w:sz w:val="24"/>
          <w:szCs w:val="24"/>
        </w:rPr>
        <w:t xml:space="preserve"> as principais rochas aflorantes pertencem aos Grupos Piracicaba (filitos e quartzitos com pequenas intercalações de dolomito), Itabira (formação ferrífera, dolomitos e filitos) e Caraça (conglomerados, quartzitos e filitos). A Formação Cauê (Grupo Itabira) corresponde a uma sequência de rochas metassedimentares de origem fluvial a marinha plataformal de idade paleoproterozóica. Seu litotipo predominante são as formações ferríferas bandadas </w:t>
      </w:r>
      <w:r w:rsidRPr="00CA3984">
        <w:rPr>
          <w:rFonts w:ascii="Arial" w:eastAsia="Arial" w:hAnsi="Arial" w:cs="Arial"/>
          <w:sz w:val="24"/>
          <w:szCs w:val="24"/>
        </w:rPr>
        <w:lastRenderedPageBreak/>
        <w:t xml:space="preserve">(BIF) que, devido a processos metamórficos e intempéricos, dividem-se em sete variedades: hematitas, itabiritos ricos, itabiritos silicosos, itabiritos goethíticos, itabiritos carbonáticos e itabiritos manganesíferos. Além disso, abriga o Aquífero Cauê, principal unidade hidrogeológica local e objeto de investigação deste trabalho. </w:t>
      </w:r>
    </w:p>
    <w:p w14:paraId="41AEA415" w14:textId="77777777" w:rsidR="006670B0" w:rsidRPr="00CA3984" w:rsidRDefault="006670B0" w:rsidP="00CA3984">
      <w:pPr>
        <w:spacing w:line="480" w:lineRule="auto"/>
        <w:ind w:firstLine="720"/>
        <w:jc w:val="both"/>
        <w:rPr>
          <w:rFonts w:ascii="Arial" w:hAnsi="Arial" w:cs="Arial"/>
          <w:sz w:val="24"/>
          <w:szCs w:val="24"/>
        </w:rPr>
      </w:pPr>
    </w:p>
    <w:p w14:paraId="48D2B38B" w14:textId="77777777" w:rsidR="00E07BB3" w:rsidRPr="00CA3984" w:rsidRDefault="001B39FB" w:rsidP="00CA3984">
      <w:pPr>
        <w:jc w:val="center"/>
        <w:rPr>
          <w:rFonts w:ascii="Arial" w:eastAsia="Arial" w:hAnsi="Arial" w:cs="Arial"/>
        </w:rPr>
      </w:pPr>
      <w:r w:rsidRPr="00CA3984">
        <w:rPr>
          <w:rFonts w:ascii="Arial" w:eastAsia="Arial" w:hAnsi="Arial" w:cs="Arial"/>
          <w:noProof/>
        </w:rPr>
        <w:drawing>
          <wp:inline distT="0" distB="0" distL="0" distR="0" wp14:anchorId="5D63CCFA" wp14:editId="336A13AA">
            <wp:extent cx="4191000" cy="5188056"/>
            <wp:effectExtent l="0" t="0" r="0" b="0"/>
            <wp:docPr id="3" name="Imagem 3" descr="C:\Users\julia\Downloads\Figura 2 - coluna Q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ulia\Downloads\Figura 2 - coluna QF.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6629" t="13881" r="32349" b="16250"/>
                    <a:stretch/>
                  </pic:blipFill>
                  <pic:spPr bwMode="auto">
                    <a:xfrm>
                      <a:off x="0" y="0"/>
                      <a:ext cx="4220351" cy="5224390"/>
                    </a:xfrm>
                    <a:prstGeom prst="rect">
                      <a:avLst/>
                    </a:prstGeom>
                    <a:noFill/>
                    <a:ln>
                      <a:noFill/>
                    </a:ln>
                    <a:extLst>
                      <a:ext uri="{53640926-AAD7-44D8-BBD7-CCE9431645EC}">
                        <a14:shadowObscured xmlns:a14="http://schemas.microsoft.com/office/drawing/2010/main"/>
                      </a:ext>
                    </a:extLst>
                  </pic:spPr>
                </pic:pic>
              </a:graphicData>
            </a:graphic>
          </wp:inline>
        </w:drawing>
      </w:r>
    </w:p>
    <w:p w14:paraId="563EA9F2" w14:textId="77777777" w:rsidR="00E07BB3" w:rsidRPr="00CA3984" w:rsidRDefault="00E8653F" w:rsidP="00D41945">
      <w:pPr>
        <w:rPr>
          <w:rFonts w:ascii="Arial" w:eastAsia="Arial" w:hAnsi="Arial" w:cs="Arial"/>
        </w:rPr>
      </w:pPr>
      <w:r w:rsidRPr="008F7229">
        <w:rPr>
          <w:rFonts w:ascii="Arial" w:eastAsia="Arial" w:hAnsi="Arial" w:cs="Arial"/>
          <w:b/>
        </w:rPr>
        <w:t>Figura 2</w:t>
      </w:r>
      <w:r w:rsidRPr="00CA3984">
        <w:rPr>
          <w:rFonts w:ascii="Arial" w:eastAsia="Arial" w:hAnsi="Arial" w:cs="Arial"/>
        </w:rPr>
        <w:t xml:space="preserve"> </w:t>
      </w:r>
      <w:r w:rsidR="008F7229" w:rsidRPr="008F7229">
        <w:rPr>
          <w:rFonts w:ascii="Arial" w:eastAsia="Arial" w:hAnsi="Arial" w:cs="Arial"/>
          <w:sz w:val="16"/>
        </w:rPr>
        <w:t>–</w:t>
      </w:r>
      <w:r w:rsidRPr="00CA3984">
        <w:rPr>
          <w:rFonts w:ascii="Arial" w:eastAsia="Arial" w:hAnsi="Arial" w:cs="Arial"/>
        </w:rPr>
        <w:t xml:space="preserve"> Coluna estratigráfica do Quadrilátero Ferrífer</w:t>
      </w:r>
      <w:r w:rsidR="008F7229">
        <w:rPr>
          <w:rFonts w:ascii="Arial" w:eastAsia="Arial" w:hAnsi="Arial" w:cs="Arial"/>
        </w:rPr>
        <w:t xml:space="preserve">o. Adaptada de ALKMIM &amp; MARSHAK </w:t>
      </w:r>
      <w:r w:rsidRPr="00CA3984">
        <w:rPr>
          <w:rFonts w:ascii="Arial" w:eastAsia="Arial" w:hAnsi="Arial" w:cs="Arial"/>
        </w:rPr>
        <w:t>(1998).</w:t>
      </w:r>
    </w:p>
    <w:p w14:paraId="3D0A8992" w14:textId="77777777" w:rsidR="00E07BB3" w:rsidRPr="00CA3984" w:rsidRDefault="00E8653F" w:rsidP="00D41945">
      <w:pPr>
        <w:rPr>
          <w:rFonts w:ascii="Arial" w:eastAsia="Arial" w:hAnsi="Arial" w:cs="Arial"/>
          <w:sz w:val="24"/>
          <w:szCs w:val="24"/>
        </w:rPr>
      </w:pPr>
      <w:r w:rsidRPr="0036192B">
        <w:rPr>
          <w:rFonts w:ascii="Arial" w:eastAsia="Arial" w:hAnsi="Arial" w:cs="Arial"/>
          <w:b/>
        </w:rPr>
        <w:t>Figure 2</w:t>
      </w:r>
      <w:r w:rsidRPr="0036192B">
        <w:rPr>
          <w:rFonts w:ascii="Arial" w:eastAsia="Arial" w:hAnsi="Arial" w:cs="Arial"/>
        </w:rPr>
        <w:t xml:space="preserve"> </w:t>
      </w:r>
      <w:r w:rsidR="008F7229" w:rsidRPr="0036192B">
        <w:rPr>
          <w:rFonts w:ascii="Arial" w:eastAsia="Arial" w:hAnsi="Arial" w:cs="Arial"/>
          <w:sz w:val="16"/>
        </w:rPr>
        <w:t>–</w:t>
      </w:r>
      <w:r w:rsidRPr="0036192B">
        <w:rPr>
          <w:rFonts w:ascii="Arial" w:eastAsia="Arial" w:hAnsi="Arial" w:cs="Arial"/>
        </w:rPr>
        <w:t xml:space="preserve"> Stratigraphic column of the Quadrilátero Ferrífero. </w:t>
      </w:r>
      <w:r w:rsidRPr="00CA3984">
        <w:rPr>
          <w:rFonts w:ascii="Arial" w:eastAsia="Arial" w:hAnsi="Arial" w:cs="Arial"/>
        </w:rPr>
        <w:t>Adapted from ALKMIM &amp; MARSHAK (1998).</w:t>
      </w:r>
    </w:p>
    <w:p w14:paraId="584C8C04" w14:textId="77777777" w:rsidR="00E07BB3" w:rsidRPr="00CA3984" w:rsidRDefault="00E07BB3" w:rsidP="007506F3">
      <w:pPr>
        <w:spacing w:line="276" w:lineRule="auto"/>
        <w:ind w:firstLine="283"/>
        <w:jc w:val="both"/>
        <w:rPr>
          <w:rFonts w:ascii="Arial" w:eastAsia="Arial" w:hAnsi="Arial" w:cs="Arial"/>
          <w:sz w:val="24"/>
          <w:szCs w:val="24"/>
        </w:rPr>
      </w:pPr>
    </w:p>
    <w:p w14:paraId="3ABC13D2" w14:textId="1E11E80B" w:rsidR="00E07BB3" w:rsidRPr="00CA3984" w:rsidRDefault="001F1FD7">
      <w:pPr>
        <w:spacing w:line="480" w:lineRule="auto"/>
        <w:ind w:firstLine="425"/>
        <w:jc w:val="both"/>
        <w:rPr>
          <w:rFonts w:ascii="Arial" w:eastAsia="Arial" w:hAnsi="Arial" w:cs="Arial"/>
          <w:sz w:val="24"/>
          <w:szCs w:val="24"/>
        </w:rPr>
      </w:pPr>
      <w:r w:rsidRPr="001F1FD7">
        <w:rPr>
          <w:rFonts w:ascii="Arial" w:eastAsia="Arial" w:hAnsi="Arial" w:cs="Arial"/>
          <w:color w:val="auto"/>
          <w:sz w:val="24"/>
          <w:szCs w:val="24"/>
        </w:rPr>
        <w:t>O</w:t>
      </w:r>
      <w:r w:rsidR="00E8653F" w:rsidRPr="00CC3062">
        <w:rPr>
          <w:rFonts w:ascii="Arial" w:eastAsia="Arial" w:hAnsi="Arial" w:cs="Arial"/>
          <w:color w:val="auto"/>
          <w:sz w:val="24"/>
          <w:szCs w:val="24"/>
        </w:rPr>
        <w:t xml:space="preserve"> sistema aquífero do Quadrilátero Ferrífero</w:t>
      </w:r>
      <w:r w:rsidRPr="001F1FD7">
        <w:rPr>
          <w:rFonts w:ascii="Arial" w:eastAsia="Arial" w:hAnsi="Arial" w:cs="Arial"/>
          <w:color w:val="auto"/>
          <w:sz w:val="24"/>
          <w:szCs w:val="24"/>
        </w:rPr>
        <w:t xml:space="preserve">, </w:t>
      </w:r>
      <w:r>
        <w:rPr>
          <w:rFonts w:ascii="Arial" w:eastAsia="Arial" w:hAnsi="Arial" w:cs="Arial"/>
          <w:color w:val="auto"/>
          <w:sz w:val="24"/>
          <w:szCs w:val="24"/>
        </w:rPr>
        <w:t>r</w:t>
      </w:r>
      <w:r w:rsidR="00E8653F" w:rsidRPr="00CA3984">
        <w:rPr>
          <w:rFonts w:ascii="Arial" w:eastAsia="Arial" w:hAnsi="Arial" w:cs="Arial"/>
          <w:sz w:val="24"/>
          <w:szCs w:val="24"/>
        </w:rPr>
        <w:t xml:space="preserve">egionalmente, delimita-se em três grandes blocos: Homoclinal Serra do Curral, Sinclinal Moeda e Faixa Transpressiva Tamanduá-Mutuca. Sua subcompartimentação é dada por rochas de menor permeabilidade e, de acordo com suas características litológicas, os aquíferos podem </w:t>
      </w:r>
      <w:r w:rsidR="00E8653F" w:rsidRPr="00CA3984">
        <w:rPr>
          <w:rFonts w:ascii="Arial" w:eastAsia="Arial" w:hAnsi="Arial" w:cs="Arial"/>
          <w:sz w:val="24"/>
          <w:szCs w:val="24"/>
        </w:rPr>
        <w:lastRenderedPageBreak/>
        <w:t>ser classificados em i) inconsolidados; ii) quartzíticos; iii) carbonáticos; iv) em formações ferríferas</w:t>
      </w:r>
      <w:r w:rsidR="007262DD">
        <w:rPr>
          <w:rFonts w:ascii="Arial" w:eastAsia="Arial" w:hAnsi="Arial" w:cs="Arial"/>
          <w:sz w:val="24"/>
          <w:szCs w:val="24"/>
        </w:rPr>
        <w:t>;</w:t>
      </w:r>
      <w:r w:rsidR="007262DD" w:rsidRPr="00CA3984">
        <w:rPr>
          <w:rFonts w:ascii="Arial" w:eastAsia="Arial" w:hAnsi="Arial" w:cs="Arial"/>
          <w:sz w:val="24"/>
          <w:szCs w:val="24"/>
        </w:rPr>
        <w:t xml:space="preserve"> </w:t>
      </w:r>
      <w:r w:rsidR="00E8653F" w:rsidRPr="00CA3984">
        <w:rPr>
          <w:rFonts w:ascii="Arial" w:eastAsia="Arial" w:hAnsi="Arial" w:cs="Arial"/>
          <w:sz w:val="24"/>
          <w:szCs w:val="24"/>
        </w:rPr>
        <w:t>v) em xistos</w:t>
      </w:r>
      <w:r w:rsidR="007262DD">
        <w:rPr>
          <w:rFonts w:ascii="Arial" w:eastAsia="Arial" w:hAnsi="Arial" w:cs="Arial"/>
          <w:sz w:val="24"/>
          <w:szCs w:val="24"/>
        </w:rPr>
        <w:t>;</w:t>
      </w:r>
      <w:r w:rsidR="00E8653F" w:rsidRPr="00CA3984">
        <w:rPr>
          <w:rFonts w:ascii="Arial" w:eastAsia="Arial" w:hAnsi="Arial" w:cs="Arial"/>
          <w:sz w:val="24"/>
          <w:szCs w:val="24"/>
        </w:rPr>
        <w:t xml:space="preserve"> e vi) em rochas granito-gnáissicas (MOURÃO, 2007).</w:t>
      </w:r>
    </w:p>
    <w:p w14:paraId="5C5143D7" w14:textId="7E491A7F" w:rsidR="00E07BB3" w:rsidRDefault="00E8653F">
      <w:pPr>
        <w:spacing w:line="480" w:lineRule="auto"/>
        <w:ind w:firstLine="425"/>
        <w:jc w:val="both"/>
        <w:rPr>
          <w:rFonts w:ascii="Arial" w:eastAsia="Arial" w:hAnsi="Arial" w:cs="Arial"/>
          <w:sz w:val="24"/>
          <w:szCs w:val="24"/>
        </w:rPr>
      </w:pPr>
      <w:r w:rsidRPr="00CA3984">
        <w:rPr>
          <w:rFonts w:ascii="Arial" w:eastAsia="Arial" w:hAnsi="Arial" w:cs="Arial"/>
          <w:sz w:val="24"/>
          <w:szCs w:val="24"/>
        </w:rPr>
        <w:t>A região de estudo possui um complexo sistema de aquíferos já que abrange litologias variadas. Entretanto, o Sistema Aquífero Cauê é o de maior expressividade</w:t>
      </w:r>
      <w:r w:rsidR="00E34214">
        <w:rPr>
          <w:rFonts w:ascii="Arial" w:eastAsia="Arial" w:hAnsi="Arial" w:cs="Arial"/>
          <w:sz w:val="24"/>
          <w:szCs w:val="24"/>
        </w:rPr>
        <w:t xml:space="preserve">, constituindo-se </w:t>
      </w:r>
      <w:r w:rsidRPr="00CA3984">
        <w:rPr>
          <w:rFonts w:ascii="Arial" w:eastAsia="Arial" w:hAnsi="Arial" w:cs="Arial"/>
          <w:sz w:val="24"/>
          <w:szCs w:val="24"/>
        </w:rPr>
        <w:t>dos itabiritos e hematitas da formação homônima e possui</w:t>
      </w:r>
      <w:r w:rsidR="00661D23">
        <w:rPr>
          <w:rFonts w:ascii="Arial" w:eastAsia="Arial" w:hAnsi="Arial" w:cs="Arial"/>
          <w:sz w:val="24"/>
          <w:szCs w:val="24"/>
        </w:rPr>
        <w:t>ndo</w:t>
      </w:r>
      <w:r w:rsidRPr="00CA3984">
        <w:rPr>
          <w:rFonts w:ascii="Arial" w:eastAsia="Arial" w:hAnsi="Arial" w:cs="Arial"/>
          <w:sz w:val="24"/>
          <w:szCs w:val="24"/>
        </w:rPr>
        <w:t xml:space="preserve"> zonas aquíferas associadas ao fraturamento dos dolomitos da Formação Gandarela e quartzitos da Formação Moeda (NEVES &amp; BERTACHINI, 2004). Já as unidades confinantes (aquitardos e aquicludes) constituem-se de filitos e metabasitos de diferentes formações, com destaque para unidade Batatal que representa o limite basal do aquífero Cauê (MOURÃO, 2007). </w:t>
      </w:r>
    </w:p>
    <w:p w14:paraId="558A6C40" w14:textId="77777777" w:rsidR="00D20170" w:rsidRPr="00CA3984" w:rsidRDefault="00D20170">
      <w:pPr>
        <w:spacing w:line="480" w:lineRule="auto"/>
        <w:ind w:firstLine="425"/>
        <w:jc w:val="both"/>
        <w:rPr>
          <w:rFonts w:ascii="Arial" w:eastAsia="Arial" w:hAnsi="Arial" w:cs="Arial"/>
          <w:color w:val="FF0000"/>
          <w:sz w:val="24"/>
          <w:szCs w:val="24"/>
        </w:rPr>
      </w:pPr>
    </w:p>
    <w:p w14:paraId="26BBEB27" w14:textId="77777777" w:rsidR="00E07BB3" w:rsidRPr="00CA3984" w:rsidRDefault="00E8653F">
      <w:pPr>
        <w:spacing w:line="480" w:lineRule="auto"/>
        <w:jc w:val="both"/>
        <w:rPr>
          <w:rFonts w:ascii="Arial" w:eastAsia="Arial" w:hAnsi="Arial" w:cs="Arial"/>
          <w:sz w:val="24"/>
          <w:szCs w:val="24"/>
        </w:rPr>
      </w:pPr>
      <w:r w:rsidRPr="00CA3984">
        <w:rPr>
          <w:rFonts w:ascii="Arial" w:eastAsia="Arial" w:hAnsi="Arial" w:cs="Arial"/>
          <w:b/>
          <w:smallCaps/>
          <w:sz w:val="24"/>
          <w:szCs w:val="24"/>
        </w:rPr>
        <w:t>3</w:t>
      </w:r>
      <w:r w:rsidR="00CA3984">
        <w:rPr>
          <w:rFonts w:ascii="Arial" w:eastAsia="Arial" w:hAnsi="Arial" w:cs="Arial"/>
          <w:b/>
          <w:smallCaps/>
          <w:sz w:val="24"/>
          <w:szCs w:val="24"/>
        </w:rPr>
        <w:tab/>
      </w:r>
      <w:r w:rsidRPr="00CA3984">
        <w:rPr>
          <w:rFonts w:ascii="Arial" w:eastAsia="Arial" w:hAnsi="Arial" w:cs="Arial"/>
          <w:b/>
          <w:smallCaps/>
          <w:sz w:val="24"/>
          <w:szCs w:val="24"/>
        </w:rPr>
        <w:t>METODOLOGIA</w:t>
      </w:r>
    </w:p>
    <w:p w14:paraId="1238EE3E" w14:textId="77777777" w:rsidR="00E07BB3" w:rsidRPr="00CA3984" w:rsidRDefault="00E8653F" w:rsidP="0047755D">
      <w:pPr>
        <w:spacing w:line="480" w:lineRule="auto"/>
        <w:ind w:firstLine="720"/>
        <w:jc w:val="both"/>
        <w:rPr>
          <w:rFonts w:ascii="Arial" w:eastAsia="Arial" w:hAnsi="Arial" w:cs="Arial"/>
          <w:sz w:val="24"/>
          <w:szCs w:val="24"/>
        </w:rPr>
      </w:pPr>
      <w:r w:rsidRPr="00CA3984">
        <w:rPr>
          <w:rFonts w:ascii="Arial" w:eastAsia="Arial" w:hAnsi="Arial" w:cs="Arial"/>
          <w:sz w:val="24"/>
          <w:szCs w:val="24"/>
        </w:rPr>
        <w:t>A metodologia deste trabalho baseou-se na comparação de diferentes poços tubulares profundos com relação a litologia, vazão específica e perfis geofísicos.</w:t>
      </w:r>
    </w:p>
    <w:p w14:paraId="2D188768" w14:textId="445AAC64" w:rsidR="00E07BB3" w:rsidRPr="00CA3984" w:rsidRDefault="00E8653F" w:rsidP="0047755D">
      <w:pPr>
        <w:spacing w:line="480" w:lineRule="auto"/>
        <w:ind w:firstLine="720"/>
        <w:jc w:val="both"/>
        <w:rPr>
          <w:rFonts w:ascii="Arial" w:eastAsia="Arial" w:hAnsi="Arial" w:cs="Arial"/>
          <w:sz w:val="24"/>
          <w:szCs w:val="24"/>
        </w:rPr>
      </w:pPr>
      <w:r w:rsidRPr="00CA3984">
        <w:rPr>
          <w:rFonts w:ascii="Arial" w:eastAsia="Arial" w:hAnsi="Arial" w:cs="Arial"/>
          <w:sz w:val="24"/>
          <w:szCs w:val="24"/>
        </w:rPr>
        <w:t>Primeiramente</w:t>
      </w:r>
      <w:r w:rsidR="007262DD">
        <w:rPr>
          <w:rFonts w:ascii="Arial" w:eastAsia="Arial" w:hAnsi="Arial" w:cs="Arial"/>
          <w:sz w:val="24"/>
          <w:szCs w:val="24"/>
        </w:rPr>
        <w:t>,</w:t>
      </w:r>
      <w:r w:rsidRPr="00CA3984">
        <w:rPr>
          <w:rFonts w:ascii="Arial" w:eastAsia="Arial" w:hAnsi="Arial" w:cs="Arial"/>
          <w:sz w:val="24"/>
          <w:szCs w:val="24"/>
        </w:rPr>
        <w:t xml:space="preserve"> foram selecionados sete poços tubulares próximos entre si, com litologias semelhantes e vazões específicas variadas. Para uma comparação mais efetiva, foram selecionados poços compostos basicamente de hematita ou itabirito, este último variando entre itabirito silicoso, itabirito argiloso (manganesífero e goetítico) e itabirito carbonático. As vazões específicas foram obtidas a partir de testes de bombeamento. Nestes, é realizado o bombeamento do poço a uma taxa fixa, durante determinado intervalo de tempo, e medida a variação do nível de água no poço de controle e/ou em poços e piezômetros adjacentes (estruturas de observação). A partir daí obtém-se a vazão máxima do poço (m³/h) e, dividindo-a pela diferença </w:t>
      </w:r>
      <w:r w:rsidRPr="00CA3984">
        <w:rPr>
          <w:rFonts w:ascii="Arial" w:eastAsia="Arial" w:hAnsi="Arial" w:cs="Arial"/>
          <w:sz w:val="24"/>
          <w:szCs w:val="24"/>
        </w:rPr>
        <w:lastRenderedPageBreak/>
        <w:t>entre nível estático e dinâmico (m), chega-se a vazão específica do poço (unidade de m³/h.m).</w:t>
      </w:r>
    </w:p>
    <w:p w14:paraId="210F742E" w14:textId="0E687F3C" w:rsidR="00E07BB3" w:rsidRPr="00CA3984" w:rsidRDefault="00E8653F" w:rsidP="00CA3984">
      <w:pPr>
        <w:spacing w:line="480" w:lineRule="auto"/>
        <w:ind w:firstLine="720"/>
        <w:jc w:val="both"/>
        <w:rPr>
          <w:rFonts w:ascii="Arial" w:eastAsia="Arial" w:hAnsi="Arial" w:cs="Arial"/>
          <w:sz w:val="24"/>
          <w:szCs w:val="24"/>
        </w:rPr>
      </w:pPr>
      <w:r w:rsidRPr="00CA3984">
        <w:rPr>
          <w:rFonts w:ascii="Arial" w:eastAsia="Arial" w:hAnsi="Arial" w:cs="Arial"/>
          <w:sz w:val="24"/>
          <w:szCs w:val="24"/>
        </w:rPr>
        <w:t>Posteriormente, foram analisados os perfis geofísicos dos poços obtidos após a perfuração dos mesmos</w:t>
      </w:r>
      <w:r w:rsidR="00661D23">
        <w:rPr>
          <w:rFonts w:ascii="Arial" w:eastAsia="Arial" w:hAnsi="Arial" w:cs="Arial"/>
          <w:sz w:val="24"/>
          <w:szCs w:val="24"/>
        </w:rPr>
        <w:t>, que tiveram por objetivo</w:t>
      </w:r>
      <w:r w:rsidRPr="00CA3984">
        <w:rPr>
          <w:rFonts w:ascii="Arial" w:eastAsia="Arial" w:hAnsi="Arial" w:cs="Arial"/>
          <w:sz w:val="24"/>
          <w:szCs w:val="24"/>
        </w:rPr>
        <w:t xml:space="preserve"> promover a completação (colocação de tubos e filtros) efetiva, aproveitando ao máximo as características do aquífero para bombeamento de água. Tais perfis foram reinterpretados </w:t>
      </w:r>
      <w:r w:rsidR="00661D23">
        <w:rPr>
          <w:rFonts w:ascii="Arial" w:eastAsia="Arial" w:hAnsi="Arial" w:cs="Arial"/>
          <w:sz w:val="24"/>
          <w:szCs w:val="24"/>
        </w:rPr>
        <w:t xml:space="preserve">utilizando as </w:t>
      </w:r>
      <w:r w:rsidRPr="00CA3984">
        <w:rPr>
          <w:rFonts w:ascii="Arial" w:eastAsia="Arial" w:hAnsi="Arial" w:cs="Arial"/>
          <w:sz w:val="24"/>
          <w:szCs w:val="24"/>
        </w:rPr>
        <w:t>ferramentas geofísicas de radioatividade natural (raios gama), potencial espontâneo (SP), resistividade e sônico</w:t>
      </w:r>
      <w:r w:rsidR="00661D23">
        <w:rPr>
          <w:rFonts w:ascii="Arial" w:eastAsia="Arial" w:hAnsi="Arial" w:cs="Arial"/>
          <w:sz w:val="24"/>
          <w:szCs w:val="24"/>
        </w:rPr>
        <w:t xml:space="preserve">, </w:t>
      </w:r>
      <w:r w:rsidRPr="00CA3984">
        <w:rPr>
          <w:rFonts w:ascii="Arial" w:eastAsia="Arial" w:hAnsi="Arial" w:cs="Arial"/>
          <w:sz w:val="24"/>
          <w:szCs w:val="24"/>
        </w:rPr>
        <w:t>correlacionados à litologia e vazão específica de cada poço.</w:t>
      </w:r>
    </w:p>
    <w:p w14:paraId="68E8C28E" w14:textId="53E87AA6" w:rsidR="00E07BB3" w:rsidRPr="00CA3984" w:rsidRDefault="00661D23" w:rsidP="00CA3984">
      <w:pPr>
        <w:spacing w:line="480" w:lineRule="auto"/>
        <w:ind w:firstLine="720"/>
        <w:jc w:val="both"/>
        <w:rPr>
          <w:rFonts w:ascii="Arial" w:eastAsia="Arial" w:hAnsi="Arial" w:cs="Arial"/>
          <w:sz w:val="24"/>
          <w:szCs w:val="24"/>
        </w:rPr>
      </w:pPr>
      <w:r>
        <w:rPr>
          <w:rFonts w:ascii="Arial" w:eastAsia="Arial" w:hAnsi="Arial" w:cs="Arial"/>
          <w:sz w:val="24"/>
          <w:szCs w:val="24"/>
        </w:rPr>
        <w:t xml:space="preserve">O perfil </w:t>
      </w:r>
      <w:r w:rsidR="00E8653F" w:rsidRPr="00CA3984">
        <w:rPr>
          <w:rFonts w:ascii="Arial" w:eastAsia="Arial" w:hAnsi="Arial" w:cs="Arial"/>
          <w:sz w:val="24"/>
          <w:szCs w:val="24"/>
        </w:rPr>
        <w:t>de raios gama mede a radioatividade natural das formações, principalmente dos isótopos potássio (K), tório (Th) e urânio (U). Trata-se de uma ferramenta bastante eficaz na diferenciação entre formações argilosas e arenosas, uma vez que os elementos radioativos tendem a se concentrar em micas, argilominerais e feldspatos alcalinos. Em geral, a radioatividade em poços é medida em unidade “API” (American Petroleum Institute) (KEAREY</w:t>
      </w:r>
      <w:r w:rsidR="007262DD">
        <w:rPr>
          <w:rFonts w:ascii="Arial" w:eastAsia="Arial" w:hAnsi="Arial" w:cs="Arial"/>
          <w:sz w:val="24"/>
          <w:szCs w:val="24"/>
        </w:rPr>
        <w:t xml:space="preserve"> et al.</w:t>
      </w:r>
      <w:r w:rsidR="00E8653F" w:rsidRPr="00CA3984">
        <w:rPr>
          <w:rFonts w:ascii="Arial" w:eastAsia="Arial" w:hAnsi="Arial" w:cs="Arial"/>
          <w:sz w:val="24"/>
          <w:szCs w:val="24"/>
        </w:rPr>
        <w:t xml:space="preserve">, 2009). </w:t>
      </w:r>
      <w:r>
        <w:rPr>
          <w:rFonts w:ascii="Arial" w:eastAsia="Arial" w:hAnsi="Arial" w:cs="Arial"/>
          <w:sz w:val="24"/>
          <w:szCs w:val="24"/>
        </w:rPr>
        <w:t>Q</w:t>
      </w:r>
      <w:r w:rsidR="00E8653F" w:rsidRPr="00CA3984">
        <w:rPr>
          <w:rFonts w:ascii="Arial" w:eastAsia="Arial" w:hAnsi="Arial" w:cs="Arial"/>
          <w:sz w:val="24"/>
          <w:szCs w:val="24"/>
        </w:rPr>
        <w:t xml:space="preserve">uanto menor o gama, menor a argilosidade e, consequentemente, </w:t>
      </w:r>
      <w:r>
        <w:rPr>
          <w:rFonts w:ascii="Arial" w:eastAsia="Arial" w:hAnsi="Arial" w:cs="Arial"/>
          <w:sz w:val="24"/>
          <w:szCs w:val="24"/>
        </w:rPr>
        <w:t xml:space="preserve">mais “limpa” tende a ser a formação, com os poros mais livres e, assim, </w:t>
      </w:r>
      <w:r w:rsidR="00E8653F" w:rsidRPr="00CA3984">
        <w:rPr>
          <w:rFonts w:ascii="Arial" w:eastAsia="Arial" w:hAnsi="Arial" w:cs="Arial"/>
          <w:sz w:val="24"/>
          <w:szCs w:val="24"/>
        </w:rPr>
        <w:t xml:space="preserve">maior a possibilidade de ter água. </w:t>
      </w:r>
    </w:p>
    <w:p w14:paraId="447CA41E" w14:textId="7F7DBDE1" w:rsidR="00E07BB3" w:rsidRPr="00CA3984" w:rsidRDefault="00E8653F" w:rsidP="00CA3984">
      <w:pPr>
        <w:spacing w:line="480" w:lineRule="auto"/>
        <w:ind w:firstLine="720"/>
        <w:jc w:val="both"/>
        <w:rPr>
          <w:rFonts w:ascii="Arial" w:eastAsia="Arial" w:hAnsi="Arial" w:cs="Arial"/>
          <w:sz w:val="24"/>
          <w:szCs w:val="24"/>
        </w:rPr>
      </w:pPr>
      <w:r w:rsidRPr="00CA3984">
        <w:rPr>
          <w:rFonts w:ascii="Arial" w:eastAsia="Arial" w:hAnsi="Arial" w:cs="Arial"/>
          <w:sz w:val="24"/>
          <w:szCs w:val="24"/>
        </w:rPr>
        <w:t xml:space="preserve">Na ferramenta </w:t>
      </w:r>
      <w:r w:rsidR="00661D23">
        <w:rPr>
          <w:rFonts w:ascii="Arial" w:eastAsia="Arial" w:hAnsi="Arial" w:cs="Arial"/>
          <w:sz w:val="24"/>
          <w:szCs w:val="24"/>
        </w:rPr>
        <w:t>do potencial espontâneo (</w:t>
      </w:r>
      <w:r w:rsidRPr="00CA3984">
        <w:rPr>
          <w:rFonts w:ascii="Arial" w:eastAsia="Arial" w:hAnsi="Arial" w:cs="Arial"/>
          <w:sz w:val="24"/>
          <w:szCs w:val="24"/>
        </w:rPr>
        <w:t>“</w:t>
      </w:r>
      <w:r w:rsidR="00661D23">
        <w:rPr>
          <w:rFonts w:ascii="Arial" w:eastAsia="Arial" w:hAnsi="Arial" w:cs="Arial"/>
          <w:sz w:val="24"/>
          <w:szCs w:val="24"/>
        </w:rPr>
        <w:t>s</w:t>
      </w:r>
      <w:r w:rsidRPr="00CA3984">
        <w:rPr>
          <w:rFonts w:ascii="Arial" w:eastAsia="Arial" w:hAnsi="Arial" w:cs="Arial"/>
          <w:sz w:val="24"/>
          <w:szCs w:val="24"/>
        </w:rPr>
        <w:t>elf-potencial”</w:t>
      </w:r>
      <w:r w:rsidR="00661D23">
        <w:rPr>
          <w:rFonts w:ascii="Arial" w:eastAsia="Arial" w:hAnsi="Arial" w:cs="Arial"/>
          <w:sz w:val="24"/>
          <w:szCs w:val="24"/>
        </w:rPr>
        <w:t xml:space="preserve">- </w:t>
      </w:r>
      <w:r w:rsidRPr="00CA3984">
        <w:rPr>
          <w:rFonts w:ascii="Arial" w:eastAsia="Arial" w:hAnsi="Arial" w:cs="Arial"/>
          <w:sz w:val="24"/>
          <w:szCs w:val="24"/>
        </w:rPr>
        <w:t>SP)</w:t>
      </w:r>
      <w:r w:rsidR="007262DD">
        <w:rPr>
          <w:rFonts w:ascii="Arial" w:eastAsia="Arial" w:hAnsi="Arial" w:cs="Arial"/>
          <w:sz w:val="24"/>
          <w:szCs w:val="24"/>
        </w:rPr>
        <w:t>,</w:t>
      </w:r>
      <w:r w:rsidRPr="00CA3984">
        <w:rPr>
          <w:rFonts w:ascii="Arial" w:eastAsia="Arial" w:hAnsi="Arial" w:cs="Arial"/>
          <w:sz w:val="24"/>
          <w:szCs w:val="24"/>
        </w:rPr>
        <w:t xml:space="preserve"> utiliza-se um fluido de perfuração condutivo no poço para se medir a diferença de potencial</w:t>
      </w:r>
      <w:r w:rsidR="00661D23">
        <w:rPr>
          <w:rFonts w:ascii="Arial" w:eastAsia="Arial" w:hAnsi="Arial" w:cs="Arial"/>
          <w:sz w:val="24"/>
          <w:szCs w:val="24"/>
        </w:rPr>
        <w:t>,</w:t>
      </w:r>
      <w:r w:rsidRPr="00CA3984">
        <w:rPr>
          <w:rFonts w:ascii="Arial" w:eastAsia="Arial" w:hAnsi="Arial" w:cs="Arial"/>
          <w:sz w:val="24"/>
          <w:szCs w:val="24"/>
        </w:rPr>
        <w:t xml:space="preserve"> em milivolts (mV)</w:t>
      </w:r>
      <w:r w:rsidR="00661D23">
        <w:rPr>
          <w:rFonts w:ascii="Arial" w:eastAsia="Arial" w:hAnsi="Arial" w:cs="Arial"/>
          <w:sz w:val="24"/>
          <w:szCs w:val="24"/>
        </w:rPr>
        <w:t>,</w:t>
      </w:r>
      <w:r w:rsidRPr="00CA3984">
        <w:rPr>
          <w:rFonts w:ascii="Arial" w:eastAsia="Arial" w:hAnsi="Arial" w:cs="Arial"/>
          <w:sz w:val="24"/>
          <w:szCs w:val="24"/>
        </w:rPr>
        <w:t xml:space="preserve"> entre dois eletrodos, um dentro do poço e outro na superfície. Trata-se do método de prospecção elétrica mais antigo, a partir do qual é possível identificar zonas de oxirredução (FERNANDES, 1984). As maiores aplicações </w:t>
      </w:r>
      <w:r w:rsidR="00661D23">
        <w:rPr>
          <w:rFonts w:ascii="Arial" w:eastAsia="Arial" w:hAnsi="Arial" w:cs="Arial"/>
          <w:sz w:val="24"/>
          <w:szCs w:val="24"/>
        </w:rPr>
        <w:t>desta ferramenta</w:t>
      </w:r>
      <w:r w:rsidRPr="00CA3984">
        <w:rPr>
          <w:rFonts w:ascii="Arial" w:eastAsia="Arial" w:hAnsi="Arial" w:cs="Arial"/>
          <w:sz w:val="24"/>
          <w:szCs w:val="24"/>
        </w:rPr>
        <w:t xml:space="preserve"> são: detecção de camadas permeáveis, argilosidade e resistividade de água nas formações (KEAREY, 2009). No entanto, trata-se de um método nem sempre utilizado devido à dificuldade de interpretação dos seus resultados. </w:t>
      </w:r>
      <w:r w:rsidR="007A1E38" w:rsidRPr="00D42215">
        <w:rPr>
          <w:rFonts w:ascii="Arial" w:eastAsia="Arial" w:hAnsi="Arial" w:cs="Arial"/>
          <w:sz w:val="24"/>
          <w:szCs w:val="24"/>
        </w:rPr>
        <w:t xml:space="preserve">Na hidrogeologia, pode-se </w:t>
      </w:r>
      <w:r w:rsidR="007A1E38" w:rsidRPr="00D42215">
        <w:rPr>
          <w:rFonts w:ascii="Arial" w:eastAsia="Arial" w:hAnsi="Arial" w:cs="Arial"/>
          <w:sz w:val="24"/>
          <w:szCs w:val="24"/>
        </w:rPr>
        <w:lastRenderedPageBreak/>
        <w:t>dizer que valores positivos de SP indicam que a salinidade da lama de perfuração é maior que a da água da formação. Isso sugere a ocorrência de zonas de faturamento onde pode-se ter rochas mais oxidadas, infiltrações e é maior a possibilidade de água.</w:t>
      </w:r>
    </w:p>
    <w:p w14:paraId="7CB0E744" w14:textId="4A330DE2" w:rsidR="00E07BB3" w:rsidRDefault="00DA1216" w:rsidP="00CA3984">
      <w:pPr>
        <w:spacing w:line="480" w:lineRule="auto"/>
        <w:ind w:firstLine="720"/>
        <w:jc w:val="both"/>
        <w:rPr>
          <w:rFonts w:ascii="Arial" w:eastAsia="Arial" w:hAnsi="Arial" w:cs="Arial"/>
          <w:sz w:val="24"/>
          <w:szCs w:val="24"/>
        </w:rPr>
      </w:pPr>
      <w:r>
        <w:rPr>
          <w:rFonts w:ascii="Arial" w:eastAsia="Arial" w:hAnsi="Arial" w:cs="Arial"/>
          <w:sz w:val="24"/>
          <w:szCs w:val="24"/>
        </w:rPr>
        <w:t xml:space="preserve">O perfil de resistividade pode trabalhar com duas configurações de eletrodos que diferem quanto à profundidade de penetração na formação. O arranjo </w:t>
      </w:r>
      <w:r w:rsidR="001B3DB2">
        <w:rPr>
          <w:rFonts w:ascii="Arial" w:eastAsia="Arial" w:hAnsi="Arial" w:cs="Arial"/>
          <w:sz w:val="24"/>
          <w:szCs w:val="24"/>
        </w:rPr>
        <w:t xml:space="preserve">normal </w:t>
      </w:r>
      <w:r>
        <w:rPr>
          <w:rFonts w:ascii="Arial" w:eastAsia="Arial" w:hAnsi="Arial" w:cs="Arial"/>
          <w:sz w:val="24"/>
          <w:szCs w:val="24"/>
        </w:rPr>
        <w:t>curto (</w:t>
      </w:r>
      <w:r w:rsidRPr="001B3DB2">
        <w:rPr>
          <w:rFonts w:ascii="Arial" w:eastAsia="Arial" w:hAnsi="Arial" w:cs="Arial"/>
          <w:i/>
          <w:sz w:val="24"/>
          <w:szCs w:val="24"/>
        </w:rPr>
        <w:t>short</w:t>
      </w:r>
      <w:r w:rsidR="00CC3062">
        <w:rPr>
          <w:rFonts w:ascii="Arial" w:eastAsia="Arial" w:hAnsi="Arial" w:cs="Arial"/>
          <w:sz w:val="24"/>
          <w:szCs w:val="24"/>
        </w:rPr>
        <w:t xml:space="preserve"> ou NL</w:t>
      </w:r>
      <w:r>
        <w:rPr>
          <w:rFonts w:ascii="Arial" w:eastAsia="Arial" w:hAnsi="Arial" w:cs="Arial"/>
          <w:sz w:val="24"/>
          <w:szCs w:val="24"/>
        </w:rPr>
        <w:t xml:space="preserve">, 16’’) sofre grande influência da zona invadida pelo fluido da lama, já o </w:t>
      </w:r>
      <w:r w:rsidR="001B3DB2">
        <w:rPr>
          <w:rFonts w:ascii="Arial" w:eastAsia="Arial" w:hAnsi="Arial" w:cs="Arial"/>
          <w:sz w:val="24"/>
          <w:szCs w:val="24"/>
        </w:rPr>
        <w:t xml:space="preserve">normal </w:t>
      </w:r>
      <w:r>
        <w:rPr>
          <w:rFonts w:ascii="Arial" w:eastAsia="Arial" w:hAnsi="Arial" w:cs="Arial"/>
          <w:sz w:val="24"/>
          <w:szCs w:val="24"/>
        </w:rPr>
        <w:t>longo (</w:t>
      </w:r>
      <w:r w:rsidRPr="001B3DB2">
        <w:rPr>
          <w:rFonts w:ascii="Arial" w:eastAsia="Arial" w:hAnsi="Arial" w:cs="Arial"/>
          <w:i/>
          <w:sz w:val="24"/>
          <w:szCs w:val="24"/>
        </w:rPr>
        <w:t>long</w:t>
      </w:r>
      <w:r w:rsidR="00CC3062">
        <w:rPr>
          <w:rFonts w:ascii="Arial" w:eastAsia="Arial" w:hAnsi="Arial" w:cs="Arial"/>
          <w:i/>
          <w:sz w:val="24"/>
          <w:szCs w:val="24"/>
        </w:rPr>
        <w:t xml:space="preserve"> </w:t>
      </w:r>
      <w:r w:rsidR="00CC3062" w:rsidRPr="00CC3062">
        <w:rPr>
          <w:rFonts w:ascii="Arial" w:eastAsia="Arial" w:hAnsi="Arial" w:cs="Arial"/>
          <w:sz w:val="24"/>
          <w:szCs w:val="24"/>
        </w:rPr>
        <w:t>ou NL</w:t>
      </w:r>
      <w:r>
        <w:rPr>
          <w:rFonts w:ascii="Arial" w:eastAsia="Arial" w:hAnsi="Arial" w:cs="Arial"/>
          <w:sz w:val="24"/>
          <w:szCs w:val="24"/>
        </w:rPr>
        <w:t>, 64’’), possibilita a investigação da zona não invadida, com menos influência da lama, medindo as características da formação e de seus fluidos originais.</w:t>
      </w:r>
      <w:r w:rsidR="00E8653F" w:rsidRPr="00CA3984">
        <w:rPr>
          <w:rFonts w:ascii="Arial" w:eastAsia="Arial" w:hAnsi="Arial" w:cs="Arial"/>
          <w:sz w:val="24"/>
          <w:szCs w:val="24"/>
        </w:rPr>
        <w:t xml:space="preserve"> Na hidrogeologia, a resistividade é utilizada principalmente para detecção de feições argilosas, salinas e/ou fraturadas. Além disso, devido a sua sensibilidade quando em contato com a água, a resistividade é bastante utilizada para se inferir o nível estático em um poço. </w:t>
      </w:r>
    </w:p>
    <w:p w14:paraId="23A8700B" w14:textId="25936A70" w:rsidR="00D42215" w:rsidRDefault="00D42215" w:rsidP="00D42215">
      <w:pPr>
        <w:spacing w:line="480" w:lineRule="auto"/>
        <w:ind w:firstLine="720"/>
        <w:jc w:val="both"/>
        <w:rPr>
          <w:rFonts w:ascii="Arial" w:eastAsia="Arial" w:hAnsi="Arial" w:cs="Arial"/>
          <w:sz w:val="24"/>
          <w:szCs w:val="24"/>
        </w:rPr>
      </w:pPr>
      <w:r w:rsidRPr="00D42215">
        <w:rPr>
          <w:rFonts w:ascii="Arial" w:eastAsia="Arial" w:hAnsi="Arial" w:cs="Arial"/>
          <w:sz w:val="24"/>
          <w:szCs w:val="24"/>
        </w:rPr>
        <w:t xml:space="preserve">Por fim, o perfil sônico é uma ferramenta geofísica que permite medir o tempo de trânsito de uma onda sísmica na formação e, desta forma, avaliar as velocidades sísmica nas formações  e, a partir daí, pode-se estimar a sua porosidade intergranular e detectar ocasionalmente zonas de fraturas e perda de circulação (KEAREY, 2009). Seu uso para estes fins baseia-se na diferenciação da velocidade das ondas, em termos práticos, quanto maior o tempo de trânsito da onda acústica, maior a porosidade. Deve-se estar atento ao fato que a velocidade das ondas sísmicas é maior na matriz que nos fluídos de modo que o perfil sônico tende a registrar somente a porosidade interligada ou intergranular, não apresentando alterações em seus valores na presença de vesículas ou cavidades, porosidade secundária tipicamente encontrada em carbonatos. Seu uso para identificação de fraturas se dá apenas quando as mesmas se encontram interconectadas. Logo, altos valores do perfil sônico (ou vagarosidade) se relacionam com maior porosidade, primária ou secundária, o </w:t>
      </w:r>
      <w:r w:rsidRPr="00D42215">
        <w:rPr>
          <w:rFonts w:ascii="Arial" w:eastAsia="Arial" w:hAnsi="Arial" w:cs="Arial"/>
          <w:sz w:val="24"/>
          <w:szCs w:val="24"/>
        </w:rPr>
        <w:lastRenderedPageBreak/>
        <w:t>que pode ser favorável para a presença de água. A unidade de medição mais utilizada é (</w:t>
      </w:r>
      <w:r>
        <w:rPr>
          <w:rFonts w:eastAsia="Arial"/>
        </w:rPr>
        <w:sym w:font="Symbol" w:char="F06D"/>
      </w:r>
      <w:r w:rsidRPr="00D42215">
        <w:rPr>
          <w:rFonts w:ascii="Arial" w:eastAsia="Arial" w:hAnsi="Arial" w:cs="Arial"/>
          <w:sz w:val="24"/>
          <w:szCs w:val="24"/>
        </w:rPr>
        <w:t>ft/s). Na hidrogeologia, o perfil sônico permite a diferenciação entre litologias brandas e compactas além da estimativa da porosidade das formações.</w:t>
      </w:r>
    </w:p>
    <w:p w14:paraId="23670AAE" w14:textId="77777777" w:rsidR="00D20170" w:rsidRDefault="00D20170" w:rsidP="00D42215">
      <w:pPr>
        <w:spacing w:line="480" w:lineRule="auto"/>
        <w:ind w:firstLine="720"/>
        <w:jc w:val="both"/>
        <w:rPr>
          <w:rFonts w:ascii="Arial" w:eastAsia="Arial" w:hAnsi="Arial" w:cs="Arial"/>
          <w:sz w:val="24"/>
          <w:szCs w:val="24"/>
        </w:rPr>
      </w:pPr>
    </w:p>
    <w:p w14:paraId="099C845D" w14:textId="07D496A5" w:rsidR="00E07BB3" w:rsidRPr="00CA3984" w:rsidRDefault="00E8653F">
      <w:pPr>
        <w:numPr>
          <w:ilvl w:val="0"/>
          <w:numId w:val="1"/>
        </w:numPr>
        <w:spacing w:line="480" w:lineRule="auto"/>
        <w:ind w:left="0" w:firstLine="0"/>
        <w:jc w:val="both"/>
        <w:rPr>
          <w:rFonts w:ascii="Arial" w:eastAsia="Arial" w:hAnsi="Arial" w:cs="Arial"/>
          <w:b/>
          <w:sz w:val="24"/>
          <w:szCs w:val="24"/>
        </w:rPr>
      </w:pPr>
      <w:r w:rsidRPr="00CA3984">
        <w:rPr>
          <w:rFonts w:ascii="Arial" w:eastAsia="Arial" w:hAnsi="Arial" w:cs="Arial"/>
          <w:b/>
          <w:smallCaps/>
          <w:sz w:val="24"/>
          <w:szCs w:val="24"/>
        </w:rPr>
        <w:t>RESULTADOS E DISCUSSÕES</w:t>
      </w:r>
    </w:p>
    <w:p w14:paraId="1BB78EA7" w14:textId="2DC04672" w:rsidR="006B287D" w:rsidRDefault="00CA3984" w:rsidP="00EE6961">
      <w:pPr>
        <w:spacing w:line="480" w:lineRule="auto"/>
        <w:ind w:firstLine="425"/>
        <w:jc w:val="both"/>
        <w:rPr>
          <w:rFonts w:ascii="Arial" w:hAnsi="Arial" w:cs="Arial"/>
          <w:noProof/>
          <w:sz w:val="24"/>
          <w:szCs w:val="24"/>
        </w:rPr>
      </w:pPr>
      <w:r>
        <w:rPr>
          <w:rFonts w:ascii="Arial" w:eastAsia="Arial" w:hAnsi="Arial" w:cs="Arial"/>
          <w:sz w:val="24"/>
          <w:szCs w:val="24"/>
        </w:rPr>
        <w:tab/>
      </w:r>
      <w:r w:rsidR="00E8653F" w:rsidRPr="00CA3984">
        <w:rPr>
          <w:rFonts w:ascii="Arial" w:eastAsia="Arial" w:hAnsi="Arial" w:cs="Arial"/>
          <w:sz w:val="24"/>
          <w:szCs w:val="24"/>
        </w:rPr>
        <w:t xml:space="preserve">A disposição dos poços e as respectivas vazões específicas podem ser vistas na Figura 3. Os litotipos dos poços </w:t>
      </w:r>
      <w:r w:rsidR="00C02393">
        <w:rPr>
          <w:rFonts w:ascii="Arial" w:eastAsia="Arial" w:hAnsi="Arial" w:cs="Arial"/>
          <w:sz w:val="24"/>
          <w:szCs w:val="24"/>
        </w:rPr>
        <w:t xml:space="preserve">(expressos em porcentagem) </w:t>
      </w:r>
      <w:r w:rsidR="00E8653F" w:rsidRPr="00CA3984">
        <w:rPr>
          <w:rFonts w:ascii="Arial" w:eastAsia="Arial" w:hAnsi="Arial" w:cs="Arial"/>
          <w:sz w:val="24"/>
          <w:szCs w:val="24"/>
        </w:rPr>
        <w:t>podem ser vistos na Tabela 1. No texto, entretanto, serão apenas citadas as litologias de interesse com o intuito de facilitar as discussões. Analogamente, foram explicitadas apenas as porções mais significativas dos perfis geofísicos.</w:t>
      </w:r>
      <w:bookmarkStart w:id="1" w:name="_gjdgxs" w:colFirst="0" w:colLast="0"/>
      <w:bookmarkEnd w:id="1"/>
    </w:p>
    <w:p w14:paraId="7E9B2802" w14:textId="194F06A6" w:rsidR="00E07BB3" w:rsidRPr="00CA3984" w:rsidRDefault="00D20170" w:rsidP="00CA3984">
      <w:pPr>
        <w:jc w:val="center"/>
        <w:rPr>
          <w:rFonts w:ascii="Arial" w:hAnsi="Arial" w:cs="Arial"/>
          <w:sz w:val="24"/>
          <w:szCs w:val="24"/>
        </w:rPr>
      </w:pPr>
      <w:r>
        <w:rPr>
          <w:rFonts w:ascii="Arial" w:hAnsi="Arial" w:cs="Arial"/>
          <w:noProof/>
          <w:sz w:val="24"/>
          <w:szCs w:val="24"/>
        </w:rPr>
        <w:drawing>
          <wp:inline distT="0" distB="0" distL="0" distR="0" wp14:anchorId="07BEC202" wp14:editId="6D281FCA">
            <wp:extent cx="6169856" cy="4343400"/>
            <wp:effectExtent l="0" t="0" r="254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 3.png"/>
                    <pic:cNvPicPr/>
                  </pic:nvPicPr>
                  <pic:blipFill>
                    <a:blip r:embed="rId8">
                      <a:extLst>
                        <a:ext uri="{28A0092B-C50C-407E-A947-70E740481C1C}">
                          <a14:useLocalDpi xmlns:a14="http://schemas.microsoft.com/office/drawing/2010/main" val="0"/>
                        </a:ext>
                      </a:extLst>
                    </a:blip>
                    <a:stretch>
                      <a:fillRect/>
                    </a:stretch>
                  </pic:blipFill>
                  <pic:spPr>
                    <a:xfrm>
                      <a:off x="0" y="0"/>
                      <a:ext cx="6175669" cy="4347492"/>
                    </a:xfrm>
                    <a:prstGeom prst="rect">
                      <a:avLst/>
                    </a:prstGeom>
                  </pic:spPr>
                </pic:pic>
              </a:graphicData>
            </a:graphic>
          </wp:inline>
        </w:drawing>
      </w:r>
    </w:p>
    <w:p w14:paraId="215AC2CC" w14:textId="48E51C8C" w:rsidR="00E07BB3" w:rsidRPr="00D20170" w:rsidRDefault="00E8653F" w:rsidP="00D41945">
      <w:pPr>
        <w:tabs>
          <w:tab w:val="left" w:pos="851"/>
        </w:tabs>
        <w:rPr>
          <w:rFonts w:ascii="Arial" w:eastAsia="Arial" w:hAnsi="Arial" w:cs="Arial"/>
        </w:rPr>
      </w:pPr>
      <w:r w:rsidRPr="00D20170">
        <w:rPr>
          <w:rFonts w:ascii="Arial" w:eastAsia="Arial" w:hAnsi="Arial" w:cs="Arial"/>
          <w:b/>
        </w:rPr>
        <w:t>Figura 3</w:t>
      </w:r>
      <w:r w:rsidRPr="00D20170">
        <w:rPr>
          <w:rFonts w:ascii="Arial" w:eastAsia="Arial" w:hAnsi="Arial" w:cs="Arial"/>
        </w:rPr>
        <w:t xml:space="preserve"> </w:t>
      </w:r>
      <w:r w:rsidR="008F7229" w:rsidRPr="00D20170">
        <w:rPr>
          <w:rFonts w:ascii="Arial" w:eastAsia="Arial" w:hAnsi="Arial" w:cs="Arial"/>
        </w:rPr>
        <w:t>–</w:t>
      </w:r>
      <w:r w:rsidRPr="00D20170">
        <w:rPr>
          <w:rFonts w:ascii="Arial" w:eastAsia="Arial" w:hAnsi="Arial" w:cs="Arial"/>
        </w:rPr>
        <w:t xml:space="preserve"> </w:t>
      </w:r>
      <w:r w:rsidR="009B482D" w:rsidRPr="00D20170">
        <w:rPr>
          <w:rFonts w:ascii="Arial" w:eastAsia="Arial" w:hAnsi="Arial" w:cs="Arial"/>
        </w:rPr>
        <w:t xml:space="preserve">Localização </w:t>
      </w:r>
      <w:r w:rsidRPr="00D20170">
        <w:rPr>
          <w:rFonts w:ascii="Arial" w:eastAsia="Arial" w:hAnsi="Arial" w:cs="Arial"/>
        </w:rPr>
        <w:t>e vazão específica dos poços de estudo.</w:t>
      </w:r>
    </w:p>
    <w:p w14:paraId="31EFDF81" w14:textId="40171348" w:rsidR="00E07BB3" w:rsidRDefault="00E8653F" w:rsidP="00D41945">
      <w:pPr>
        <w:tabs>
          <w:tab w:val="left" w:pos="851"/>
        </w:tabs>
        <w:rPr>
          <w:rFonts w:ascii="Arial" w:eastAsia="Arial" w:hAnsi="Arial" w:cs="Arial"/>
          <w:lang w:val="en-US"/>
        </w:rPr>
      </w:pPr>
      <w:r w:rsidRPr="00D20170">
        <w:rPr>
          <w:rFonts w:ascii="Arial" w:eastAsia="Arial" w:hAnsi="Arial" w:cs="Arial"/>
          <w:b/>
          <w:lang w:val="en-US"/>
        </w:rPr>
        <w:t xml:space="preserve">Figure 3 – </w:t>
      </w:r>
      <w:r w:rsidRPr="00D20170">
        <w:rPr>
          <w:rFonts w:ascii="Arial" w:eastAsia="Arial" w:hAnsi="Arial" w:cs="Arial"/>
          <w:lang w:val="en-US"/>
        </w:rPr>
        <w:t>Localization and specific flow rate of the studied wells.</w:t>
      </w:r>
    </w:p>
    <w:p w14:paraId="504B8D51" w14:textId="549959C1" w:rsidR="00D20170" w:rsidRDefault="00D20170" w:rsidP="00D41945">
      <w:pPr>
        <w:tabs>
          <w:tab w:val="left" w:pos="851"/>
        </w:tabs>
        <w:rPr>
          <w:rFonts w:ascii="Arial" w:eastAsia="Arial" w:hAnsi="Arial" w:cs="Arial"/>
          <w:lang w:val="en-US"/>
        </w:rPr>
      </w:pPr>
    </w:p>
    <w:p w14:paraId="1A152E49" w14:textId="42D08099" w:rsidR="00D20170" w:rsidRDefault="00D20170" w:rsidP="00D41945">
      <w:pPr>
        <w:tabs>
          <w:tab w:val="left" w:pos="851"/>
        </w:tabs>
        <w:rPr>
          <w:rFonts w:ascii="Arial" w:eastAsia="Arial" w:hAnsi="Arial" w:cs="Arial"/>
          <w:lang w:val="en-US"/>
        </w:rPr>
      </w:pPr>
    </w:p>
    <w:p w14:paraId="0B289FE9" w14:textId="31DDAF70" w:rsidR="00956C3F" w:rsidRDefault="00956C3F" w:rsidP="00D41945">
      <w:pPr>
        <w:tabs>
          <w:tab w:val="left" w:pos="851"/>
        </w:tabs>
        <w:rPr>
          <w:rFonts w:ascii="Arial" w:eastAsia="Arial" w:hAnsi="Arial" w:cs="Arial"/>
          <w:lang w:val="en-US"/>
        </w:rPr>
      </w:pPr>
    </w:p>
    <w:p w14:paraId="20A02438" w14:textId="77777777" w:rsidR="00A357AF" w:rsidRPr="00CA3984" w:rsidRDefault="00A357AF" w:rsidP="00D41945">
      <w:pPr>
        <w:tabs>
          <w:tab w:val="left" w:pos="851"/>
        </w:tabs>
        <w:rPr>
          <w:rFonts w:ascii="Arial" w:eastAsia="Arial" w:hAnsi="Arial" w:cs="Arial"/>
          <w:lang w:val="en-US"/>
        </w:rPr>
      </w:pPr>
    </w:p>
    <w:p w14:paraId="308B7581" w14:textId="20937A46" w:rsidR="00E07BB3" w:rsidRPr="003E5EE1" w:rsidRDefault="00956C3F" w:rsidP="00956C3F">
      <w:pPr>
        <w:rPr>
          <w:rFonts w:ascii="Arial" w:eastAsia="Arial" w:hAnsi="Arial" w:cs="Arial"/>
          <w:sz w:val="24"/>
        </w:rPr>
      </w:pPr>
      <w:bookmarkStart w:id="2" w:name="_30j0zll" w:colFirst="0" w:colLast="0"/>
      <w:bookmarkEnd w:id="2"/>
      <w:r>
        <w:rPr>
          <w:rFonts w:ascii="Arial" w:eastAsia="Arial" w:hAnsi="Arial" w:cs="Arial"/>
          <w:b/>
          <w:sz w:val="24"/>
        </w:rPr>
        <w:lastRenderedPageBreak/>
        <w:t>T</w:t>
      </w:r>
      <w:r w:rsidR="000034E5">
        <w:rPr>
          <w:rFonts w:ascii="Arial" w:eastAsia="Arial" w:hAnsi="Arial" w:cs="Arial"/>
          <w:b/>
          <w:sz w:val="24"/>
        </w:rPr>
        <w:t xml:space="preserve">abela 1 – </w:t>
      </w:r>
      <w:r w:rsidR="00AF5450">
        <w:rPr>
          <w:rFonts w:ascii="Arial" w:eastAsia="Arial" w:hAnsi="Arial" w:cs="Arial"/>
          <w:sz w:val="24"/>
        </w:rPr>
        <w:t>Litologia,</w:t>
      </w:r>
      <w:r w:rsidR="00E8653F" w:rsidRPr="003E5EE1">
        <w:rPr>
          <w:rFonts w:ascii="Arial" w:eastAsia="Arial" w:hAnsi="Arial" w:cs="Arial"/>
          <w:sz w:val="24"/>
        </w:rPr>
        <w:t xml:space="preserve"> profundidade</w:t>
      </w:r>
      <w:r w:rsidR="00AF5450">
        <w:rPr>
          <w:rFonts w:ascii="Arial" w:eastAsia="Arial" w:hAnsi="Arial" w:cs="Arial"/>
          <w:sz w:val="24"/>
        </w:rPr>
        <w:t xml:space="preserve"> e vazão específica</w:t>
      </w:r>
      <w:r w:rsidR="00E8653F" w:rsidRPr="003E5EE1">
        <w:rPr>
          <w:rFonts w:ascii="Arial" w:eastAsia="Arial" w:hAnsi="Arial" w:cs="Arial"/>
          <w:sz w:val="24"/>
        </w:rPr>
        <w:t xml:space="preserve"> dos poços de estudo</w:t>
      </w:r>
      <w:r w:rsidR="00AF5450">
        <w:rPr>
          <w:rFonts w:ascii="Arial" w:eastAsia="Arial" w:hAnsi="Arial" w:cs="Arial"/>
          <w:sz w:val="24"/>
        </w:rPr>
        <w:t>.</w:t>
      </w:r>
    </w:p>
    <w:p w14:paraId="712790C1" w14:textId="76B0D960" w:rsidR="00E07BB3" w:rsidRPr="003E5EE1" w:rsidRDefault="00956C3F" w:rsidP="00956C3F">
      <w:pPr>
        <w:tabs>
          <w:tab w:val="left" w:pos="851"/>
        </w:tabs>
        <w:rPr>
          <w:rFonts w:ascii="Arial" w:eastAsia="Arial" w:hAnsi="Arial" w:cs="Arial"/>
          <w:sz w:val="24"/>
          <w:lang w:val="en-US"/>
        </w:rPr>
      </w:pPr>
      <w:r>
        <w:rPr>
          <w:rFonts w:ascii="Arial" w:eastAsia="Arial" w:hAnsi="Arial" w:cs="Arial"/>
          <w:b/>
          <w:sz w:val="24"/>
          <w:lang w:val="en-US"/>
        </w:rPr>
        <w:t>Table 1</w:t>
      </w:r>
      <w:r w:rsidR="000034E5">
        <w:rPr>
          <w:rFonts w:ascii="Arial" w:eastAsia="Arial" w:hAnsi="Arial" w:cs="Arial"/>
          <w:b/>
          <w:sz w:val="24"/>
          <w:lang w:val="en-US"/>
        </w:rPr>
        <w:t xml:space="preserve"> – </w:t>
      </w:r>
      <w:r w:rsidR="00AF5450">
        <w:rPr>
          <w:rFonts w:ascii="Arial" w:eastAsia="Arial" w:hAnsi="Arial" w:cs="Arial"/>
          <w:sz w:val="24"/>
          <w:lang w:val="en-US"/>
        </w:rPr>
        <w:t xml:space="preserve">Lithology, </w:t>
      </w:r>
      <w:r w:rsidR="00E8653F" w:rsidRPr="003E5EE1">
        <w:rPr>
          <w:rFonts w:ascii="Arial" w:eastAsia="Arial" w:hAnsi="Arial" w:cs="Arial"/>
          <w:sz w:val="24"/>
          <w:lang w:val="en-US"/>
        </w:rPr>
        <w:t>depth</w:t>
      </w:r>
      <w:r w:rsidR="00AF5450">
        <w:rPr>
          <w:rFonts w:ascii="Arial" w:eastAsia="Arial" w:hAnsi="Arial" w:cs="Arial"/>
          <w:sz w:val="24"/>
          <w:lang w:val="en-US"/>
        </w:rPr>
        <w:t xml:space="preserve"> an</w:t>
      </w:r>
      <w:r w:rsidR="00975132">
        <w:rPr>
          <w:rFonts w:ascii="Arial" w:eastAsia="Arial" w:hAnsi="Arial" w:cs="Arial"/>
          <w:sz w:val="24"/>
          <w:lang w:val="en-US"/>
        </w:rPr>
        <w:t>d</w:t>
      </w:r>
      <w:r w:rsidR="00AF5450">
        <w:rPr>
          <w:rFonts w:ascii="Arial" w:eastAsia="Arial" w:hAnsi="Arial" w:cs="Arial"/>
          <w:sz w:val="24"/>
          <w:lang w:val="en-US"/>
        </w:rPr>
        <w:t xml:space="preserve"> specific discharge</w:t>
      </w:r>
      <w:r w:rsidR="00E8653F" w:rsidRPr="003E5EE1">
        <w:rPr>
          <w:rFonts w:ascii="Arial" w:eastAsia="Arial" w:hAnsi="Arial" w:cs="Arial"/>
          <w:sz w:val="24"/>
          <w:lang w:val="en-US"/>
        </w:rPr>
        <w:t xml:space="preserve"> of the studied wells. </w:t>
      </w:r>
    </w:p>
    <w:tbl>
      <w:tblPr>
        <w:tblStyle w:val="a"/>
        <w:tblW w:w="10166" w:type="dxa"/>
        <w:jc w:val="center"/>
        <w:tblInd w:w="0" w:type="dxa"/>
        <w:tblLayout w:type="fixed"/>
        <w:tblLook w:val="0080" w:firstRow="0" w:lastRow="0" w:firstColumn="1" w:lastColumn="0" w:noHBand="0" w:noVBand="0"/>
      </w:tblPr>
      <w:tblGrid>
        <w:gridCol w:w="568"/>
        <w:gridCol w:w="3249"/>
        <w:gridCol w:w="907"/>
        <w:gridCol w:w="907"/>
        <w:gridCol w:w="907"/>
        <w:gridCol w:w="907"/>
        <w:gridCol w:w="907"/>
        <w:gridCol w:w="907"/>
        <w:gridCol w:w="907"/>
      </w:tblGrid>
      <w:tr w:rsidR="00AF5450" w:rsidRPr="00CA3984" w14:paraId="5EA5A383" w14:textId="77777777" w:rsidTr="00542ABB">
        <w:trPr>
          <w:cantSplit/>
          <w:trHeight w:val="227"/>
          <w:jc w:val="center"/>
        </w:trPr>
        <w:tc>
          <w:tcPr>
            <w:tcW w:w="568" w:type="dxa"/>
            <w:vMerge w:val="restart"/>
            <w:tcBorders>
              <w:top w:val="nil"/>
              <w:right w:val="single" w:sz="4" w:space="0" w:color="000000"/>
            </w:tcBorders>
            <w:shd w:val="clear" w:color="auto" w:fill="FFFFFF"/>
          </w:tcPr>
          <w:p w14:paraId="0A8CF0B4" w14:textId="77777777" w:rsidR="00AF5450" w:rsidRPr="003E5EE1" w:rsidRDefault="00AF5450" w:rsidP="003E5EE1">
            <w:pPr>
              <w:jc w:val="center"/>
              <w:rPr>
                <w:rFonts w:ascii="Arial" w:hAnsi="Arial" w:cs="Arial"/>
                <w:i/>
                <w:lang w:val="en-US"/>
              </w:rPr>
            </w:pPr>
          </w:p>
        </w:tc>
        <w:tc>
          <w:tcPr>
            <w:tcW w:w="3249" w:type="dxa"/>
            <w:tcBorders>
              <w:top w:val="single" w:sz="4" w:space="0" w:color="auto"/>
              <w:left w:val="single" w:sz="4" w:space="0" w:color="auto"/>
              <w:bottom w:val="single" w:sz="4" w:space="0" w:color="C0C0C0"/>
              <w:right w:val="single" w:sz="4" w:space="0" w:color="000000"/>
            </w:tcBorders>
            <w:shd w:val="clear" w:color="auto" w:fill="FFFFFF"/>
            <w:vAlign w:val="center"/>
          </w:tcPr>
          <w:p w14:paraId="15E9337A" w14:textId="0A76CC6C" w:rsidR="00AF5450" w:rsidRPr="003E5EE1" w:rsidRDefault="00AF5450" w:rsidP="003E5EE1">
            <w:pPr>
              <w:jc w:val="center"/>
              <w:rPr>
                <w:rFonts w:ascii="Arial" w:hAnsi="Arial" w:cs="Arial"/>
                <w:i/>
                <w:lang w:val="en-US"/>
              </w:rPr>
            </w:pPr>
          </w:p>
        </w:tc>
        <w:tc>
          <w:tcPr>
            <w:tcW w:w="907" w:type="dxa"/>
            <w:tcBorders>
              <w:top w:val="single" w:sz="4" w:space="0" w:color="auto"/>
              <w:left w:val="single" w:sz="4" w:space="0" w:color="000000"/>
              <w:bottom w:val="single" w:sz="4" w:space="0" w:color="C0C0C0"/>
              <w:right w:val="single" w:sz="4" w:space="0" w:color="000000"/>
            </w:tcBorders>
            <w:shd w:val="clear" w:color="auto" w:fill="FFFFFF"/>
            <w:vAlign w:val="center"/>
          </w:tcPr>
          <w:p w14:paraId="2E68906F" w14:textId="77777777" w:rsidR="00AF5450" w:rsidRPr="00AF5450" w:rsidRDefault="00AF5450" w:rsidP="003E5EE1">
            <w:pPr>
              <w:jc w:val="center"/>
              <w:rPr>
                <w:rFonts w:ascii="Arial" w:hAnsi="Arial" w:cs="Arial"/>
                <w:b/>
                <w:sz w:val="18"/>
                <w:szCs w:val="18"/>
              </w:rPr>
            </w:pPr>
            <w:r w:rsidRPr="00AF5450">
              <w:rPr>
                <w:rFonts w:ascii="Arial" w:hAnsi="Arial" w:cs="Arial"/>
                <w:b/>
                <w:sz w:val="18"/>
                <w:szCs w:val="18"/>
              </w:rPr>
              <w:t>POÇO 1</w:t>
            </w:r>
          </w:p>
        </w:tc>
        <w:tc>
          <w:tcPr>
            <w:tcW w:w="907" w:type="dxa"/>
            <w:tcBorders>
              <w:top w:val="single" w:sz="4" w:space="0" w:color="auto"/>
              <w:left w:val="single" w:sz="4" w:space="0" w:color="000000"/>
              <w:bottom w:val="single" w:sz="4" w:space="0" w:color="C0C0C0"/>
              <w:right w:val="single" w:sz="4" w:space="0" w:color="000000"/>
            </w:tcBorders>
            <w:shd w:val="clear" w:color="auto" w:fill="FFFFFF"/>
            <w:vAlign w:val="center"/>
          </w:tcPr>
          <w:p w14:paraId="7C79C63E" w14:textId="77777777" w:rsidR="00AF5450" w:rsidRPr="00AF5450" w:rsidRDefault="00AF5450" w:rsidP="003E5EE1">
            <w:pPr>
              <w:jc w:val="center"/>
              <w:rPr>
                <w:rFonts w:ascii="Arial" w:hAnsi="Arial" w:cs="Arial"/>
                <w:b/>
                <w:sz w:val="18"/>
                <w:szCs w:val="18"/>
              </w:rPr>
            </w:pPr>
            <w:r w:rsidRPr="00AF5450">
              <w:rPr>
                <w:rFonts w:ascii="Arial" w:hAnsi="Arial" w:cs="Arial"/>
                <w:b/>
                <w:sz w:val="18"/>
                <w:szCs w:val="18"/>
              </w:rPr>
              <w:t>POÇO 2</w:t>
            </w:r>
          </w:p>
        </w:tc>
        <w:tc>
          <w:tcPr>
            <w:tcW w:w="907" w:type="dxa"/>
            <w:tcBorders>
              <w:top w:val="single" w:sz="4" w:space="0" w:color="auto"/>
              <w:left w:val="single" w:sz="4" w:space="0" w:color="000000"/>
              <w:bottom w:val="single" w:sz="4" w:space="0" w:color="C0C0C0"/>
              <w:right w:val="single" w:sz="4" w:space="0" w:color="000000"/>
            </w:tcBorders>
            <w:shd w:val="clear" w:color="auto" w:fill="FFFFFF"/>
            <w:vAlign w:val="center"/>
          </w:tcPr>
          <w:p w14:paraId="66B72325" w14:textId="77777777" w:rsidR="00AF5450" w:rsidRPr="00AF5450" w:rsidRDefault="00AF5450" w:rsidP="003E5EE1">
            <w:pPr>
              <w:jc w:val="center"/>
              <w:rPr>
                <w:rFonts w:ascii="Arial" w:hAnsi="Arial" w:cs="Arial"/>
                <w:b/>
                <w:sz w:val="18"/>
                <w:szCs w:val="18"/>
              </w:rPr>
            </w:pPr>
            <w:r w:rsidRPr="00AF5450">
              <w:rPr>
                <w:rFonts w:ascii="Arial" w:hAnsi="Arial" w:cs="Arial"/>
                <w:b/>
                <w:sz w:val="18"/>
                <w:szCs w:val="18"/>
              </w:rPr>
              <w:t>POÇO 3</w:t>
            </w:r>
          </w:p>
        </w:tc>
        <w:tc>
          <w:tcPr>
            <w:tcW w:w="907" w:type="dxa"/>
            <w:tcBorders>
              <w:top w:val="single" w:sz="4" w:space="0" w:color="auto"/>
              <w:left w:val="single" w:sz="4" w:space="0" w:color="000000"/>
              <w:bottom w:val="single" w:sz="4" w:space="0" w:color="C0C0C0"/>
              <w:right w:val="single" w:sz="4" w:space="0" w:color="000000"/>
            </w:tcBorders>
            <w:shd w:val="clear" w:color="auto" w:fill="FFFFFF"/>
            <w:vAlign w:val="center"/>
          </w:tcPr>
          <w:p w14:paraId="1ACC2E91" w14:textId="77777777" w:rsidR="00AF5450" w:rsidRPr="00AF5450" w:rsidRDefault="00AF5450" w:rsidP="003E5EE1">
            <w:pPr>
              <w:jc w:val="center"/>
              <w:rPr>
                <w:rFonts w:ascii="Arial" w:hAnsi="Arial" w:cs="Arial"/>
                <w:b/>
                <w:sz w:val="18"/>
                <w:szCs w:val="18"/>
              </w:rPr>
            </w:pPr>
            <w:r w:rsidRPr="00AF5450">
              <w:rPr>
                <w:rFonts w:ascii="Arial" w:hAnsi="Arial" w:cs="Arial"/>
                <w:b/>
                <w:sz w:val="18"/>
                <w:szCs w:val="18"/>
              </w:rPr>
              <w:t>POÇO 4</w:t>
            </w:r>
          </w:p>
        </w:tc>
        <w:tc>
          <w:tcPr>
            <w:tcW w:w="907" w:type="dxa"/>
            <w:tcBorders>
              <w:top w:val="single" w:sz="4" w:space="0" w:color="auto"/>
              <w:left w:val="single" w:sz="4" w:space="0" w:color="000000"/>
              <w:bottom w:val="single" w:sz="4" w:space="0" w:color="C0C0C0"/>
              <w:right w:val="single" w:sz="4" w:space="0" w:color="000000"/>
            </w:tcBorders>
            <w:shd w:val="clear" w:color="auto" w:fill="FFFFFF"/>
            <w:vAlign w:val="center"/>
          </w:tcPr>
          <w:p w14:paraId="26232846" w14:textId="77777777" w:rsidR="00AF5450" w:rsidRPr="00AF5450" w:rsidRDefault="00AF5450" w:rsidP="003E5EE1">
            <w:pPr>
              <w:jc w:val="center"/>
              <w:rPr>
                <w:rFonts w:ascii="Arial" w:hAnsi="Arial" w:cs="Arial"/>
                <w:b/>
                <w:sz w:val="18"/>
                <w:szCs w:val="18"/>
              </w:rPr>
            </w:pPr>
            <w:r w:rsidRPr="00AF5450">
              <w:rPr>
                <w:rFonts w:ascii="Arial" w:hAnsi="Arial" w:cs="Arial"/>
                <w:b/>
                <w:sz w:val="18"/>
                <w:szCs w:val="18"/>
              </w:rPr>
              <w:t>POÇO 5</w:t>
            </w:r>
          </w:p>
        </w:tc>
        <w:tc>
          <w:tcPr>
            <w:tcW w:w="907" w:type="dxa"/>
            <w:tcBorders>
              <w:top w:val="single" w:sz="4" w:space="0" w:color="auto"/>
              <w:left w:val="single" w:sz="4" w:space="0" w:color="000000"/>
              <w:bottom w:val="single" w:sz="4" w:space="0" w:color="C0C0C0"/>
              <w:right w:val="single" w:sz="4" w:space="0" w:color="000000"/>
            </w:tcBorders>
            <w:shd w:val="clear" w:color="auto" w:fill="FFFFFF"/>
            <w:vAlign w:val="center"/>
          </w:tcPr>
          <w:p w14:paraId="2DCCD6BA" w14:textId="77777777" w:rsidR="00AF5450" w:rsidRPr="00AF5450" w:rsidRDefault="00AF5450" w:rsidP="003E5EE1">
            <w:pPr>
              <w:jc w:val="center"/>
              <w:rPr>
                <w:rFonts w:ascii="Arial" w:hAnsi="Arial" w:cs="Arial"/>
                <w:b/>
                <w:sz w:val="18"/>
                <w:szCs w:val="18"/>
              </w:rPr>
            </w:pPr>
            <w:r w:rsidRPr="00AF5450">
              <w:rPr>
                <w:rFonts w:ascii="Arial" w:hAnsi="Arial" w:cs="Arial"/>
                <w:b/>
                <w:sz w:val="18"/>
                <w:szCs w:val="18"/>
              </w:rPr>
              <w:t>POÇO 6</w:t>
            </w:r>
          </w:p>
        </w:tc>
        <w:tc>
          <w:tcPr>
            <w:tcW w:w="907" w:type="dxa"/>
            <w:tcBorders>
              <w:top w:val="single" w:sz="4" w:space="0" w:color="auto"/>
              <w:left w:val="single" w:sz="4" w:space="0" w:color="000000"/>
              <w:bottom w:val="single" w:sz="4" w:space="0" w:color="C0C0C0"/>
              <w:right w:val="single" w:sz="4" w:space="0" w:color="auto"/>
            </w:tcBorders>
            <w:shd w:val="clear" w:color="auto" w:fill="FFFFFF"/>
            <w:vAlign w:val="center"/>
          </w:tcPr>
          <w:p w14:paraId="26567A7C" w14:textId="77777777" w:rsidR="00AF5450" w:rsidRPr="00AF5450" w:rsidRDefault="00AF5450" w:rsidP="003E5EE1">
            <w:pPr>
              <w:jc w:val="center"/>
              <w:rPr>
                <w:rFonts w:ascii="Arial" w:hAnsi="Arial" w:cs="Arial"/>
                <w:sz w:val="18"/>
                <w:szCs w:val="18"/>
              </w:rPr>
            </w:pPr>
            <w:r w:rsidRPr="00AF5450">
              <w:rPr>
                <w:rFonts w:ascii="Arial" w:hAnsi="Arial" w:cs="Arial"/>
                <w:b/>
                <w:sz w:val="18"/>
                <w:szCs w:val="18"/>
              </w:rPr>
              <w:t>POÇO 7</w:t>
            </w:r>
          </w:p>
        </w:tc>
      </w:tr>
      <w:tr w:rsidR="00AF5450" w:rsidRPr="00CA3984" w14:paraId="58E6776F" w14:textId="77777777" w:rsidTr="00542ABB">
        <w:trPr>
          <w:cantSplit/>
          <w:trHeight w:val="227"/>
          <w:jc w:val="center"/>
        </w:trPr>
        <w:tc>
          <w:tcPr>
            <w:tcW w:w="568" w:type="dxa"/>
            <w:vMerge/>
            <w:tcBorders>
              <w:right w:val="single" w:sz="4" w:space="0" w:color="000000"/>
            </w:tcBorders>
            <w:shd w:val="clear" w:color="auto" w:fill="F2F2F2"/>
          </w:tcPr>
          <w:p w14:paraId="40EF8E38" w14:textId="77777777" w:rsidR="00AF5450" w:rsidRPr="003E5EE1" w:rsidRDefault="00AF5450" w:rsidP="003E5EE1">
            <w:pPr>
              <w:jc w:val="center"/>
              <w:rPr>
                <w:rFonts w:ascii="Arial" w:hAnsi="Arial" w:cs="Arial"/>
                <w:b/>
              </w:rPr>
            </w:pPr>
          </w:p>
        </w:tc>
        <w:tc>
          <w:tcPr>
            <w:tcW w:w="3249" w:type="dxa"/>
            <w:tcBorders>
              <w:top w:val="single" w:sz="4" w:space="0" w:color="C0C0C0"/>
              <w:left w:val="single" w:sz="4" w:space="0" w:color="auto"/>
              <w:bottom w:val="single" w:sz="4" w:space="0" w:color="C0C0C0"/>
              <w:right w:val="single" w:sz="4" w:space="0" w:color="000000"/>
            </w:tcBorders>
            <w:shd w:val="clear" w:color="auto" w:fill="F2F2F2"/>
            <w:vAlign w:val="center"/>
          </w:tcPr>
          <w:p w14:paraId="137EC8D6" w14:textId="038D680E" w:rsidR="00AF5450" w:rsidRPr="00AF5450" w:rsidRDefault="00AF5450" w:rsidP="003E5EE1">
            <w:pPr>
              <w:jc w:val="center"/>
              <w:rPr>
                <w:rFonts w:ascii="Arial" w:hAnsi="Arial" w:cs="Arial"/>
                <w:b/>
                <w:sz w:val="18"/>
                <w:szCs w:val="18"/>
              </w:rPr>
            </w:pPr>
            <w:r w:rsidRPr="00AF5450">
              <w:rPr>
                <w:rFonts w:ascii="Arial" w:hAnsi="Arial" w:cs="Arial"/>
                <w:b/>
                <w:sz w:val="18"/>
                <w:szCs w:val="18"/>
              </w:rPr>
              <w:t>Profundidade (m)</w:t>
            </w:r>
          </w:p>
        </w:tc>
        <w:tc>
          <w:tcPr>
            <w:tcW w:w="907" w:type="dxa"/>
            <w:tcBorders>
              <w:top w:val="single" w:sz="4" w:space="0" w:color="C0C0C0"/>
              <w:left w:val="single" w:sz="4" w:space="0" w:color="000000"/>
              <w:bottom w:val="single" w:sz="4" w:space="0" w:color="C0C0C0"/>
              <w:right w:val="single" w:sz="4" w:space="0" w:color="000000"/>
            </w:tcBorders>
            <w:shd w:val="clear" w:color="auto" w:fill="F2F2F2"/>
            <w:vAlign w:val="center"/>
          </w:tcPr>
          <w:p w14:paraId="01EB70F8" w14:textId="56DF5F5B" w:rsidR="00AF5450" w:rsidRPr="00AF5450" w:rsidRDefault="00542ABB" w:rsidP="003E5EE1">
            <w:pPr>
              <w:jc w:val="center"/>
              <w:rPr>
                <w:rFonts w:ascii="Arial" w:hAnsi="Arial" w:cs="Arial"/>
                <w:sz w:val="18"/>
                <w:szCs w:val="18"/>
              </w:rPr>
            </w:pPr>
            <w:r>
              <w:rPr>
                <w:rFonts w:ascii="Arial" w:hAnsi="Arial" w:cs="Arial"/>
                <w:sz w:val="18"/>
                <w:szCs w:val="18"/>
              </w:rPr>
              <w:t>300</w:t>
            </w:r>
          </w:p>
        </w:tc>
        <w:tc>
          <w:tcPr>
            <w:tcW w:w="907" w:type="dxa"/>
            <w:tcBorders>
              <w:top w:val="single" w:sz="4" w:space="0" w:color="C0C0C0"/>
              <w:left w:val="single" w:sz="4" w:space="0" w:color="000000"/>
              <w:bottom w:val="single" w:sz="4" w:space="0" w:color="C0C0C0"/>
              <w:right w:val="single" w:sz="4" w:space="0" w:color="000000"/>
            </w:tcBorders>
            <w:shd w:val="clear" w:color="auto" w:fill="F2F2F2"/>
            <w:vAlign w:val="center"/>
          </w:tcPr>
          <w:p w14:paraId="4059888D" w14:textId="6C234B08" w:rsidR="00AF5450" w:rsidRPr="00AF5450" w:rsidRDefault="00542ABB" w:rsidP="003E5EE1">
            <w:pPr>
              <w:jc w:val="center"/>
              <w:rPr>
                <w:rFonts w:ascii="Arial" w:hAnsi="Arial" w:cs="Arial"/>
                <w:sz w:val="18"/>
                <w:szCs w:val="18"/>
              </w:rPr>
            </w:pPr>
            <w:r>
              <w:rPr>
                <w:rFonts w:ascii="Arial" w:hAnsi="Arial" w:cs="Arial"/>
                <w:sz w:val="18"/>
                <w:szCs w:val="18"/>
              </w:rPr>
              <w:t>296</w:t>
            </w:r>
          </w:p>
        </w:tc>
        <w:tc>
          <w:tcPr>
            <w:tcW w:w="907" w:type="dxa"/>
            <w:tcBorders>
              <w:top w:val="single" w:sz="4" w:space="0" w:color="C0C0C0"/>
              <w:left w:val="single" w:sz="4" w:space="0" w:color="000000"/>
              <w:bottom w:val="single" w:sz="4" w:space="0" w:color="C0C0C0"/>
              <w:right w:val="single" w:sz="4" w:space="0" w:color="000000"/>
            </w:tcBorders>
            <w:shd w:val="clear" w:color="auto" w:fill="F2F2F2"/>
            <w:vAlign w:val="center"/>
          </w:tcPr>
          <w:p w14:paraId="45D85461" w14:textId="285B729F" w:rsidR="00AF5450" w:rsidRPr="00AF5450" w:rsidRDefault="00542ABB" w:rsidP="003E5EE1">
            <w:pPr>
              <w:jc w:val="center"/>
              <w:rPr>
                <w:rFonts w:ascii="Arial" w:hAnsi="Arial" w:cs="Arial"/>
                <w:sz w:val="18"/>
                <w:szCs w:val="18"/>
              </w:rPr>
            </w:pPr>
            <w:r>
              <w:rPr>
                <w:rFonts w:ascii="Arial" w:hAnsi="Arial" w:cs="Arial"/>
                <w:sz w:val="18"/>
                <w:szCs w:val="18"/>
              </w:rPr>
              <w:t>322</w:t>
            </w:r>
          </w:p>
        </w:tc>
        <w:tc>
          <w:tcPr>
            <w:tcW w:w="907" w:type="dxa"/>
            <w:tcBorders>
              <w:top w:val="single" w:sz="4" w:space="0" w:color="C0C0C0"/>
              <w:left w:val="single" w:sz="4" w:space="0" w:color="000000"/>
              <w:bottom w:val="single" w:sz="4" w:space="0" w:color="C0C0C0"/>
              <w:right w:val="single" w:sz="4" w:space="0" w:color="000000"/>
            </w:tcBorders>
            <w:shd w:val="clear" w:color="auto" w:fill="F2F2F2"/>
            <w:vAlign w:val="center"/>
          </w:tcPr>
          <w:p w14:paraId="1729DED7" w14:textId="2BA46E5A" w:rsidR="00AF5450" w:rsidRPr="00AF5450" w:rsidRDefault="00542ABB" w:rsidP="003E5EE1">
            <w:pPr>
              <w:jc w:val="center"/>
              <w:rPr>
                <w:rFonts w:ascii="Arial" w:hAnsi="Arial" w:cs="Arial"/>
                <w:sz w:val="18"/>
                <w:szCs w:val="18"/>
              </w:rPr>
            </w:pPr>
            <w:r>
              <w:rPr>
                <w:rFonts w:ascii="Arial" w:hAnsi="Arial" w:cs="Arial"/>
                <w:sz w:val="18"/>
                <w:szCs w:val="18"/>
              </w:rPr>
              <w:t>209</w:t>
            </w:r>
          </w:p>
        </w:tc>
        <w:tc>
          <w:tcPr>
            <w:tcW w:w="907" w:type="dxa"/>
            <w:tcBorders>
              <w:top w:val="single" w:sz="4" w:space="0" w:color="C0C0C0"/>
              <w:left w:val="single" w:sz="4" w:space="0" w:color="000000"/>
              <w:bottom w:val="single" w:sz="4" w:space="0" w:color="C0C0C0"/>
              <w:right w:val="single" w:sz="4" w:space="0" w:color="000000"/>
            </w:tcBorders>
            <w:shd w:val="clear" w:color="auto" w:fill="F2F2F2"/>
            <w:vAlign w:val="center"/>
          </w:tcPr>
          <w:p w14:paraId="3C568A2A" w14:textId="1FA0F234" w:rsidR="00AF5450" w:rsidRPr="00AF5450" w:rsidRDefault="00542ABB" w:rsidP="003E5EE1">
            <w:pPr>
              <w:jc w:val="center"/>
              <w:rPr>
                <w:rFonts w:ascii="Arial" w:hAnsi="Arial" w:cs="Arial"/>
                <w:sz w:val="18"/>
                <w:szCs w:val="18"/>
              </w:rPr>
            </w:pPr>
            <w:r>
              <w:rPr>
                <w:rFonts w:ascii="Arial" w:hAnsi="Arial" w:cs="Arial"/>
                <w:sz w:val="18"/>
                <w:szCs w:val="18"/>
              </w:rPr>
              <w:t>270</w:t>
            </w:r>
          </w:p>
        </w:tc>
        <w:tc>
          <w:tcPr>
            <w:tcW w:w="907" w:type="dxa"/>
            <w:tcBorders>
              <w:top w:val="single" w:sz="4" w:space="0" w:color="C0C0C0"/>
              <w:left w:val="single" w:sz="4" w:space="0" w:color="000000"/>
              <w:bottom w:val="single" w:sz="4" w:space="0" w:color="C0C0C0"/>
              <w:right w:val="single" w:sz="4" w:space="0" w:color="000000"/>
            </w:tcBorders>
            <w:shd w:val="clear" w:color="auto" w:fill="F2F2F2"/>
            <w:vAlign w:val="center"/>
          </w:tcPr>
          <w:p w14:paraId="5EFF3F9A" w14:textId="3AEA2378" w:rsidR="00AF5450" w:rsidRPr="00AF5450" w:rsidRDefault="00542ABB" w:rsidP="003E5EE1">
            <w:pPr>
              <w:jc w:val="center"/>
              <w:rPr>
                <w:rFonts w:ascii="Arial" w:hAnsi="Arial" w:cs="Arial"/>
                <w:sz w:val="18"/>
                <w:szCs w:val="18"/>
              </w:rPr>
            </w:pPr>
            <w:r>
              <w:rPr>
                <w:rFonts w:ascii="Arial" w:hAnsi="Arial" w:cs="Arial"/>
                <w:sz w:val="18"/>
                <w:szCs w:val="18"/>
              </w:rPr>
              <w:t>291</w:t>
            </w:r>
          </w:p>
        </w:tc>
        <w:tc>
          <w:tcPr>
            <w:tcW w:w="907" w:type="dxa"/>
            <w:tcBorders>
              <w:top w:val="single" w:sz="4" w:space="0" w:color="C0C0C0"/>
              <w:left w:val="single" w:sz="4" w:space="0" w:color="000000"/>
              <w:bottom w:val="single" w:sz="4" w:space="0" w:color="C0C0C0"/>
              <w:right w:val="single" w:sz="4" w:space="0" w:color="auto"/>
            </w:tcBorders>
            <w:shd w:val="clear" w:color="auto" w:fill="F2F2F2"/>
            <w:vAlign w:val="center"/>
          </w:tcPr>
          <w:p w14:paraId="0137E8B1" w14:textId="30DC4FE1" w:rsidR="00AF5450" w:rsidRPr="00AF5450" w:rsidRDefault="00542ABB" w:rsidP="003E5EE1">
            <w:pPr>
              <w:jc w:val="center"/>
              <w:rPr>
                <w:rFonts w:ascii="Arial" w:hAnsi="Arial" w:cs="Arial"/>
                <w:sz w:val="18"/>
                <w:szCs w:val="18"/>
              </w:rPr>
            </w:pPr>
            <w:r>
              <w:rPr>
                <w:rFonts w:ascii="Arial" w:hAnsi="Arial" w:cs="Arial"/>
                <w:sz w:val="18"/>
                <w:szCs w:val="18"/>
              </w:rPr>
              <w:t>295</w:t>
            </w:r>
          </w:p>
        </w:tc>
      </w:tr>
      <w:tr w:rsidR="00AF5450" w:rsidRPr="00CA3984" w14:paraId="47C14AF6" w14:textId="77777777" w:rsidTr="00542ABB">
        <w:trPr>
          <w:cantSplit/>
          <w:trHeight w:val="227"/>
          <w:jc w:val="center"/>
        </w:trPr>
        <w:tc>
          <w:tcPr>
            <w:tcW w:w="568" w:type="dxa"/>
            <w:vMerge/>
            <w:tcBorders>
              <w:bottom w:val="single" w:sz="4" w:space="0" w:color="C0C0C0"/>
              <w:right w:val="single" w:sz="4" w:space="0" w:color="000000"/>
            </w:tcBorders>
            <w:shd w:val="clear" w:color="auto" w:fill="F2F2F2"/>
          </w:tcPr>
          <w:p w14:paraId="622E2948" w14:textId="77777777" w:rsidR="00AF5450" w:rsidRPr="00C02393" w:rsidRDefault="00AF5450" w:rsidP="003E5EE1">
            <w:pPr>
              <w:jc w:val="center"/>
              <w:rPr>
                <w:rFonts w:ascii="Arial" w:hAnsi="Arial" w:cs="Arial"/>
                <w:b/>
                <w:color w:val="auto"/>
              </w:rPr>
            </w:pPr>
          </w:p>
        </w:tc>
        <w:tc>
          <w:tcPr>
            <w:tcW w:w="3249" w:type="dxa"/>
            <w:tcBorders>
              <w:top w:val="single" w:sz="4" w:space="0" w:color="C0C0C0"/>
              <w:left w:val="single" w:sz="4" w:space="0" w:color="auto"/>
              <w:bottom w:val="single" w:sz="4" w:space="0" w:color="C0C0C0"/>
              <w:right w:val="single" w:sz="4" w:space="0" w:color="000000"/>
            </w:tcBorders>
            <w:shd w:val="clear" w:color="auto" w:fill="F2F2F2"/>
            <w:vAlign w:val="center"/>
          </w:tcPr>
          <w:p w14:paraId="036EFB7E" w14:textId="412FCF3D" w:rsidR="00AF5450" w:rsidRPr="00AF5450" w:rsidRDefault="00AF5450" w:rsidP="003E5EE1">
            <w:pPr>
              <w:jc w:val="center"/>
              <w:rPr>
                <w:rFonts w:ascii="Arial" w:hAnsi="Arial" w:cs="Arial"/>
                <w:b/>
                <w:sz w:val="18"/>
                <w:szCs w:val="18"/>
              </w:rPr>
            </w:pPr>
            <w:r w:rsidRPr="00975132">
              <w:rPr>
                <w:rFonts w:ascii="Arial" w:hAnsi="Arial" w:cs="Arial"/>
                <w:b/>
                <w:color w:val="auto"/>
                <w:sz w:val="18"/>
                <w:szCs w:val="18"/>
              </w:rPr>
              <w:t>Vazão específica</w:t>
            </w:r>
            <w:r w:rsidRPr="00AF5450">
              <w:rPr>
                <w:rFonts w:ascii="Arial" w:hAnsi="Arial" w:cs="Arial"/>
                <w:b/>
                <w:color w:val="auto"/>
                <w:sz w:val="18"/>
                <w:szCs w:val="18"/>
              </w:rPr>
              <w:t xml:space="preserve"> (m³/h.m)</w:t>
            </w:r>
          </w:p>
        </w:tc>
        <w:tc>
          <w:tcPr>
            <w:tcW w:w="907" w:type="dxa"/>
            <w:tcBorders>
              <w:top w:val="single" w:sz="4" w:space="0" w:color="C0C0C0"/>
              <w:left w:val="single" w:sz="4" w:space="0" w:color="000000"/>
              <w:bottom w:val="single" w:sz="4" w:space="0" w:color="C0C0C0"/>
              <w:right w:val="single" w:sz="4" w:space="0" w:color="000000"/>
            </w:tcBorders>
            <w:shd w:val="clear" w:color="auto" w:fill="F2F2F2"/>
            <w:vAlign w:val="center"/>
          </w:tcPr>
          <w:p w14:paraId="53B2BB2F" w14:textId="7BD04A0F" w:rsidR="00AF5450" w:rsidRPr="00542ABB" w:rsidRDefault="00AF5450" w:rsidP="003E5EE1">
            <w:pPr>
              <w:jc w:val="center"/>
              <w:rPr>
                <w:rFonts w:ascii="Arial" w:hAnsi="Arial" w:cs="Arial"/>
                <w:sz w:val="18"/>
                <w:szCs w:val="18"/>
              </w:rPr>
            </w:pPr>
            <w:r w:rsidRPr="00542ABB">
              <w:rPr>
                <w:rFonts w:ascii="Arial" w:hAnsi="Arial" w:cs="Arial"/>
                <w:sz w:val="18"/>
                <w:szCs w:val="18"/>
              </w:rPr>
              <w:t>4,91</w:t>
            </w:r>
          </w:p>
        </w:tc>
        <w:tc>
          <w:tcPr>
            <w:tcW w:w="907" w:type="dxa"/>
            <w:tcBorders>
              <w:top w:val="single" w:sz="4" w:space="0" w:color="C0C0C0"/>
              <w:left w:val="single" w:sz="4" w:space="0" w:color="000000"/>
              <w:bottom w:val="single" w:sz="4" w:space="0" w:color="C0C0C0"/>
              <w:right w:val="single" w:sz="4" w:space="0" w:color="000000"/>
            </w:tcBorders>
            <w:shd w:val="clear" w:color="auto" w:fill="F2F2F2"/>
            <w:vAlign w:val="center"/>
          </w:tcPr>
          <w:p w14:paraId="0AC3CC93" w14:textId="6639329D" w:rsidR="00AF5450" w:rsidRPr="00542ABB" w:rsidRDefault="00AF5450" w:rsidP="003E5EE1">
            <w:pPr>
              <w:jc w:val="center"/>
              <w:rPr>
                <w:rFonts w:ascii="Arial" w:hAnsi="Arial" w:cs="Arial"/>
                <w:sz w:val="18"/>
                <w:szCs w:val="18"/>
              </w:rPr>
            </w:pPr>
            <w:r w:rsidRPr="00542ABB">
              <w:rPr>
                <w:rFonts w:ascii="Arial" w:hAnsi="Arial" w:cs="Arial"/>
                <w:sz w:val="18"/>
                <w:szCs w:val="18"/>
              </w:rPr>
              <w:t>3,07</w:t>
            </w:r>
          </w:p>
        </w:tc>
        <w:tc>
          <w:tcPr>
            <w:tcW w:w="907" w:type="dxa"/>
            <w:tcBorders>
              <w:top w:val="single" w:sz="4" w:space="0" w:color="C0C0C0"/>
              <w:left w:val="single" w:sz="4" w:space="0" w:color="000000"/>
              <w:bottom w:val="single" w:sz="4" w:space="0" w:color="C0C0C0"/>
              <w:right w:val="single" w:sz="4" w:space="0" w:color="000000"/>
            </w:tcBorders>
            <w:shd w:val="clear" w:color="auto" w:fill="F2F2F2"/>
            <w:vAlign w:val="center"/>
          </w:tcPr>
          <w:p w14:paraId="148BD65B" w14:textId="6E40D26F" w:rsidR="00AF5450" w:rsidRPr="00542ABB" w:rsidRDefault="00AF5450" w:rsidP="003E5EE1">
            <w:pPr>
              <w:jc w:val="center"/>
              <w:rPr>
                <w:rFonts w:ascii="Arial" w:hAnsi="Arial" w:cs="Arial"/>
                <w:sz w:val="18"/>
                <w:szCs w:val="18"/>
              </w:rPr>
            </w:pPr>
            <w:r w:rsidRPr="00542ABB">
              <w:rPr>
                <w:rFonts w:ascii="Arial" w:hAnsi="Arial" w:cs="Arial"/>
                <w:sz w:val="18"/>
                <w:szCs w:val="18"/>
              </w:rPr>
              <w:t>4,27</w:t>
            </w:r>
          </w:p>
        </w:tc>
        <w:tc>
          <w:tcPr>
            <w:tcW w:w="907" w:type="dxa"/>
            <w:tcBorders>
              <w:top w:val="single" w:sz="4" w:space="0" w:color="C0C0C0"/>
              <w:left w:val="single" w:sz="4" w:space="0" w:color="000000"/>
              <w:bottom w:val="single" w:sz="4" w:space="0" w:color="C0C0C0"/>
              <w:right w:val="single" w:sz="4" w:space="0" w:color="000000"/>
            </w:tcBorders>
            <w:shd w:val="clear" w:color="auto" w:fill="F2F2F2"/>
            <w:vAlign w:val="center"/>
          </w:tcPr>
          <w:p w14:paraId="53AB2851" w14:textId="639969D9" w:rsidR="00AF5450" w:rsidRPr="00542ABB" w:rsidRDefault="00AF5450" w:rsidP="003E5EE1">
            <w:pPr>
              <w:jc w:val="center"/>
              <w:rPr>
                <w:rFonts w:ascii="Arial" w:hAnsi="Arial" w:cs="Arial"/>
                <w:sz w:val="18"/>
                <w:szCs w:val="18"/>
              </w:rPr>
            </w:pPr>
            <w:r w:rsidRPr="00542ABB">
              <w:rPr>
                <w:rFonts w:ascii="Arial" w:hAnsi="Arial" w:cs="Arial"/>
                <w:sz w:val="18"/>
                <w:szCs w:val="18"/>
              </w:rPr>
              <w:t>2,13</w:t>
            </w:r>
          </w:p>
        </w:tc>
        <w:tc>
          <w:tcPr>
            <w:tcW w:w="907" w:type="dxa"/>
            <w:tcBorders>
              <w:top w:val="single" w:sz="4" w:space="0" w:color="C0C0C0"/>
              <w:left w:val="single" w:sz="4" w:space="0" w:color="000000"/>
              <w:bottom w:val="single" w:sz="4" w:space="0" w:color="C0C0C0"/>
              <w:right w:val="single" w:sz="4" w:space="0" w:color="000000"/>
            </w:tcBorders>
            <w:shd w:val="clear" w:color="auto" w:fill="F2F2F2"/>
            <w:vAlign w:val="center"/>
          </w:tcPr>
          <w:p w14:paraId="68367B4C" w14:textId="6848C30C" w:rsidR="00AF5450" w:rsidRPr="00542ABB" w:rsidRDefault="00AF5450" w:rsidP="003E5EE1">
            <w:pPr>
              <w:jc w:val="center"/>
              <w:rPr>
                <w:rFonts w:ascii="Arial" w:hAnsi="Arial" w:cs="Arial"/>
                <w:sz w:val="18"/>
                <w:szCs w:val="18"/>
              </w:rPr>
            </w:pPr>
            <w:r w:rsidRPr="00542ABB">
              <w:rPr>
                <w:rFonts w:ascii="Arial" w:hAnsi="Arial" w:cs="Arial"/>
                <w:sz w:val="18"/>
                <w:szCs w:val="18"/>
              </w:rPr>
              <w:t>0,62</w:t>
            </w:r>
          </w:p>
        </w:tc>
        <w:tc>
          <w:tcPr>
            <w:tcW w:w="907" w:type="dxa"/>
            <w:tcBorders>
              <w:top w:val="single" w:sz="4" w:space="0" w:color="C0C0C0"/>
              <w:left w:val="single" w:sz="4" w:space="0" w:color="000000"/>
              <w:bottom w:val="single" w:sz="4" w:space="0" w:color="C0C0C0"/>
              <w:right w:val="single" w:sz="4" w:space="0" w:color="000000"/>
            </w:tcBorders>
            <w:shd w:val="clear" w:color="auto" w:fill="F2F2F2"/>
            <w:vAlign w:val="center"/>
          </w:tcPr>
          <w:p w14:paraId="0D250494" w14:textId="0A514E86" w:rsidR="00AF5450" w:rsidRPr="00542ABB" w:rsidRDefault="00AF5450" w:rsidP="003E5EE1">
            <w:pPr>
              <w:jc w:val="center"/>
              <w:rPr>
                <w:rFonts w:ascii="Arial" w:hAnsi="Arial" w:cs="Arial"/>
                <w:sz w:val="18"/>
                <w:szCs w:val="18"/>
              </w:rPr>
            </w:pPr>
            <w:r w:rsidRPr="00542ABB">
              <w:rPr>
                <w:rFonts w:ascii="Arial" w:hAnsi="Arial" w:cs="Arial"/>
                <w:sz w:val="18"/>
                <w:szCs w:val="18"/>
              </w:rPr>
              <w:t>1,52</w:t>
            </w:r>
          </w:p>
        </w:tc>
        <w:tc>
          <w:tcPr>
            <w:tcW w:w="907" w:type="dxa"/>
            <w:tcBorders>
              <w:top w:val="single" w:sz="4" w:space="0" w:color="C0C0C0"/>
              <w:left w:val="single" w:sz="4" w:space="0" w:color="000000"/>
              <w:bottom w:val="single" w:sz="4" w:space="0" w:color="C0C0C0"/>
              <w:right w:val="single" w:sz="4" w:space="0" w:color="auto"/>
            </w:tcBorders>
            <w:shd w:val="clear" w:color="auto" w:fill="F2F2F2"/>
            <w:vAlign w:val="center"/>
          </w:tcPr>
          <w:p w14:paraId="602D5FCE" w14:textId="07EFA7F3" w:rsidR="00AF5450" w:rsidRPr="00542ABB" w:rsidRDefault="00AF5450" w:rsidP="003E5EE1">
            <w:pPr>
              <w:jc w:val="center"/>
              <w:rPr>
                <w:rFonts w:ascii="Arial" w:hAnsi="Arial" w:cs="Arial"/>
                <w:sz w:val="18"/>
                <w:szCs w:val="18"/>
              </w:rPr>
            </w:pPr>
            <w:r w:rsidRPr="00542ABB">
              <w:rPr>
                <w:rFonts w:ascii="Arial" w:hAnsi="Arial" w:cs="Arial"/>
                <w:sz w:val="18"/>
                <w:szCs w:val="18"/>
              </w:rPr>
              <w:t>3,65</w:t>
            </w:r>
          </w:p>
        </w:tc>
      </w:tr>
      <w:tr w:rsidR="00AF5450" w:rsidRPr="00CA3984" w14:paraId="7B60111E" w14:textId="77777777" w:rsidTr="00542ABB">
        <w:trPr>
          <w:cantSplit/>
          <w:trHeight w:val="227"/>
          <w:jc w:val="center"/>
        </w:trPr>
        <w:tc>
          <w:tcPr>
            <w:tcW w:w="568" w:type="dxa"/>
            <w:vMerge w:val="restart"/>
            <w:tcBorders>
              <w:top w:val="single" w:sz="4" w:space="0" w:color="C0C0C0"/>
              <w:left w:val="single" w:sz="4" w:space="0" w:color="auto"/>
              <w:right w:val="single" w:sz="4" w:space="0" w:color="000000"/>
            </w:tcBorders>
            <w:shd w:val="clear" w:color="auto" w:fill="F2F2F2"/>
            <w:textDirection w:val="btLr"/>
            <w:vAlign w:val="center"/>
          </w:tcPr>
          <w:p w14:paraId="36F16B23" w14:textId="7327FE4D" w:rsidR="00AF5450" w:rsidRPr="00AF5450" w:rsidRDefault="00AF5450" w:rsidP="00AF5450">
            <w:pPr>
              <w:ind w:left="113" w:right="113"/>
              <w:jc w:val="center"/>
              <w:rPr>
                <w:rFonts w:ascii="Arial" w:hAnsi="Arial" w:cs="Arial"/>
                <w:b/>
                <w:sz w:val="18"/>
                <w:szCs w:val="18"/>
              </w:rPr>
            </w:pPr>
            <w:r w:rsidRPr="00AF5450">
              <w:rPr>
                <w:rFonts w:ascii="Arial" w:hAnsi="Arial" w:cs="Arial"/>
                <w:b/>
                <w:sz w:val="18"/>
                <w:szCs w:val="18"/>
              </w:rPr>
              <w:t>Litologias (%)</w:t>
            </w:r>
          </w:p>
        </w:tc>
        <w:tc>
          <w:tcPr>
            <w:tcW w:w="3249" w:type="dxa"/>
            <w:tcBorders>
              <w:top w:val="single" w:sz="4" w:space="0" w:color="C0C0C0"/>
              <w:left w:val="single" w:sz="4" w:space="0" w:color="auto"/>
              <w:bottom w:val="single" w:sz="4" w:space="0" w:color="C0C0C0"/>
              <w:right w:val="single" w:sz="4" w:space="0" w:color="000000"/>
            </w:tcBorders>
            <w:shd w:val="clear" w:color="auto" w:fill="FF0000"/>
            <w:vAlign w:val="center"/>
          </w:tcPr>
          <w:p w14:paraId="6F9615D4" w14:textId="1FF28BFF" w:rsidR="00AF5450" w:rsidRPr="00AF5450" w:rsidRDefault="00AF5450" w:rsidP="003E5EE1">
            <w:pPr>
              <w:jc w:val="center"/>
              <w:rPr>
                <w:rFonts w:ascii="Arial" w:hAnsi="Arial" w:cs="Arial"/>
                <w:sz w:val="18"/>
                <w:szCs w:val="18"/>
              </w:rPr>
            </w:pPr>
            <w:r w:rsidRPr="00AF5450">
              <w:rPr>
                <w:rFonts w:ascii="Arial" w:hAnsi="Arial" w:cs="Arial"/>
                <w:sz w:val="18"/>
                <w:szCs w:val="18"/>
              </w:rPr>
              <w:t>Hematita branda (</w:t>
            </w:r>
            <w:r w:rsidRPr="00542ABB">
              <w:rPr>
                <w:rFonts w:ascii="Arial" w:hAnsi="Arial" w:cs="Arial"/>
                <w:b/>
                <w:sz w:val="18"/>
                <w:szCs w:val="18"/>
              </w:rPr>
              <w:t>HB</w:t>
            </w:r>
            <w:r w:rsidRPr="00AF5450">
              <w:rPr>
                <w:rFonts w:ascii="Arial" w:hAnsi="Arial" w:cs="Arial"/>
                <w:sz w:val="18"/>
                <w:szCs w:val="18"/>
              </w:rPr>
              <w:t>)</w:t>
            </w:r>
          </w:p>
        </w:tc>
        <w:tc>
          <w:tcPr>
            <w:tcW w:w="907" w:type="dxa"/>
            <w:tcBorders>
              <w:top w:val="single" w:sz="4" w:space="0" w:color="C0C0C0"/>
              <w:left w:val="single" w:sz="4" w:space="0" w:color="000000"/>
              <w:bottom w:val="single" w:sz="4" w:space="0" w:color="C0C0C0"/>
              <w:right w:val="single" w:sz="4" w:space="0" w:color="000000"/>
            </w:tcBorders>
            <w:shd w:val="clear" w:color="auto" w:fill="FFFFFF" w:themeFill="background1"/>
            <w:vAlign w:val="center"/>
          </w:tcPr>
          <w:p w14:paraId="3347B707" w14:textId="06E163D1" w:rsidR="00AF5450" w:rsidRPr="00AF5450" w:rsidRDefault="00AF5450" w:rsidP="003E5EE1">
            <w:pPr>
              <w:jc w:val="center"/>
              <w:rPr>
                <w:rFonts w:ascii="Arial" w:hAnsi="Arial" w:cs="Arial"/>
                <w:sz w:val="18"/>
                <w:szCs w:val="18"/>
              </w:rPr>
            </w:pPr>
            <w:r w:rsidRPr="00AF5450">
              <w:rPr>
                <w:rFonts w:ascii="Arial" w:hAnsi="Arial" w:cs="Arial"/>
                <w:sz w:val="18"/>
                <w:szCs w:val="18"/>
              </w:rPr>
              <w:t>29</w:t>
            </w:r>
          </w:p>
        </w:tc>
        <w:tc>
          <w:tcPr>
            <w:tcW w:w="907" w:type="dxa"/>
            <w:tcBorders>
              <w:top w:val="single" w:sz="4" w:space="0" w:color="C0C0C0"/>
              <w:left w:val="single" w:sz="4" w:space="0" w:color="000000"/>
              <w:bottom w:val="single" w:sz="4" w:space="0" w:color="C0C0C0"/>
              <w:right w:val="single" w:sz="4" w:space="0" w:color="000000"/>
            </w:tcBorders>
            <w:shd w:val="clear" w:color="auto" w:fill="FFFFFF" w:themeFill="background1"/>
            <w:vAlign w:val="center"/>
          </w:tcPr>
          <w:p w14:paraId="3C73CCC2" w14:textId="73650B7D" w:rsidR="00AF5450" w:rsidRPr="00AF5450" w:rsidRDefault="00AF5450" w:rsidP="003E5EE1">
            <w:pPr>
              <w:jc w:val="center"/>
              <w:rPr>
                <w:rFonts w:ascii="Arial" w:hAnsi="Arial" w:cs="Arial"/>
                <w:sz w:val="18"/>
                <w:szCs w:val="18"/>
              </w:rPr>
            </w:pPr>
            <w:r w:rsidRPr="00AF5450">
              <w:rPr>
                <w:rFonts w:ascii="Arial" w:hAnsi="Arial" w:cs="Arial"/>
                <w:sz w:val="18"/>
                <w:szCs w:val="18"/>
              </w:rPr>
              <w:t>23</w:t>
            </w:r>
          </w:p>
        </w:tc>
        <w:tc>
          <w:tcPr>
            <w:tcW w:w="907" w:type="dxa"/>
            <w:tcBorders>
              <w:top w:val="single" w:sz="4" w:space="0" w:color="C0C0C0"/>
              <w:left w:val="single" w:sz="4" w:space="0" w:color="000000"/>
              <w:bottom w:val="single" w:sz="4" w:space="0" w:color="C0C0C0"/>
              <w:right w:val="single" w:sz="4" w:space="0" w:color="000000"/>
            </w:tcBorders>
            <w:shd w:val="clear" w:color="auto" w:fill="FFFFFF" w:themeFill="background1"/>
            <w:vAlign w:val="center"/>
          </w:tcPr>
          <w:p w14:paraId="5AFF9BCE" w14:textId="6CDDDB98" w:rsidR="00AF5450" w:rsidRPr="00AF5450" w:rsidRDefault="00AF5450" w:rsidP="003E5EE1">
            <w:pPr>
              <w:jc w:val="center"/>
              <w:rPr>
                <w:rFonts w:ascii="Arial" w:hAnsi="Arial" w:cs="Arial"/>
                <w:sz w:val="18"/>
                <w:szCs w:val="18"/>
              </w:rPr>
            </w:pPr>
            <w:r w:rsidRPr="00AF5450">
              <w:rPr>
                <w:rFonts w:ascii="Arial" w:hAnsi="Arial" w:cs="Arial"/>
                <w:sz w:val="18"/>
                <w:szCs w:val="18"/>
              </w:rPr>
              <w:t>-</w:t>
            </w:r>
          </w:p>
        </w:tc>
        <w:tc>
          <w:tcPr>
            <w:tcW w:w="907" w:type="dxa"/>
            <w:tcBorders>
              <w:top w:val="single" w:sz="4" w:space="0" w:color="C0C0C0"/>
              <w:left w:val="single" w:sz="4" w:space="0" w:color="000000"/>
              <w:bottom w:val="single" w:sz="4" w:space="0" w:color="C0C0C0"/>
              <w:right w:val="single" w:sz="4" w:space="0" w:color="000000"/>
            </w:tcBorders>
            <w:shd w:val="clear" w:color="auto" w:fill="FFFFFF" w:themeFill="background1"/>
            <w:vAlign w:val="center"/>
          </w:tcPr>
          <w:p w14:paraId="43F9CF36" w14:textId="20FAC9F9" w:rsidR="00AF5450" w:rsidRPr="00AF5450" w:rsidRDefault="00AF5450" w:rsidP="003E5EE1">
            <w:pPr>
              <w:jc w:val="center"/>
              <w:rPr>
                <w:rFonts w:ascii="Arial" w:hAnsi="Arial" w:cs="Arial"/>
                <w:sz w:val="18"/>
                <w:szCs w:val="18"/>
              </w:rPr>
            </w:pPr>
            <w:r w:rsidRPr="00AF5450">
              <w:rPr>
                <w:rFonts w:ascii="Arial" w:hAnsi="Arial" w:cs="Arial"/>
                <w:sz w:val="18"/>
                <w:szCs w:val="18"/>
              </w:rPr>
              <w:t>-</w:t>
            </w:r>
          </w:p>
        </w:tc>
        <w:tc>
          <w:tcPr>
            <w:tcW w:w="907" w:type="dxa"/>
            <w:tcBorders>
              <w:top w:val="single" w:sz="4" w:space="0" w:color="C0C0C0"/>
              <w:left w:val="single" w:sz="4" w:space="0" w:color="000000"/>
              <w:bottom w:val="single" w:sz="4" w:space="0" w:color="C0C0C0"/>
              <w:right w:val="single" w:sz="4" w:space="0" w:color="000000"/>
            </w:tcBorders>
            <w:shd w:val="clear" w:color="auto" w:fill="FFFFFF" w:themeFill="background1"/>
            <w:vAlign w:val="center"/>
          </w:tcPr>
          <w:p w14:paraId="49D2C10F" w14:textId="2F910165" w:rsidR="00AF5450" w:rsidRPr="00AF5450" w:rsidRDefault="00AF5450" w:rsidP="003E5EE1">
            <w:pPr>
              <w:jc w:val="center"/>
              <w:rPr>
                <w:rFonts w:ascii="Arial" w:hAnsi="Arial" w:cs="Arial"/>
                <w:sz w:val="18"/>
                <w:szCs w:val="18"/>
              </w:rPr>
            </w:pPr>
            <w:r w:rsidRPr="00AF5450">
              <w:rPr>
                <w:rFonts w:ascii="Arial" w:hAnsi="Arial" w:cs="Arial"/>
                <w:sz w:val="18"/>
                <w:szCs w:val="18"/>
              </w:rPr>
              <w:t>-</w:t>
            </w:r>
          </w:p>
        </w:tc>
        <w:tc>
          <w:tcPr>
            <w:tcW w:w="907" w:type="dxa"/>
            <w:tcBorders>
              <w:top w:val="single" w:sz="4" w:space="0" w:color="C0C0C0"/>
              <w:left w:val="single" w:sz="4" w:space="0" w:color="000000"/>
              <w:bottom w:val="single" w:sz="4" w:space="0" w:color="C0C0C0"/>
              <w:right w:val="single" w:sz="4" w:space="0" w:color="000000"/>
            </w:tcBorders>
            <w:shd w:val="clear" w:color="auto" w:fill="FFFFFF" w:themeFill="background1"/>
            <w:vAlign w:val="center"/>
          </w:tcPr>
          <w:p w14:paraId="395D9C48" w14:textId="26252418" w:rsidR="00AF5450" w:rsidRPr="00AF5450" w:rsidRDefault="00AF5450" w:rsidP="003E5EE1">
            <w:pPr>
              <w:jc w:val="center"/>
              <w:rPr>
                <w:rFonts w:ascii="Arial" w:hAnsi="Arial" w:cs="Arial"/>
                <w:sz w:val="18"/>
                <w:szCs w:val="18"/>
              </w:rPr>
            </w:pPr>
            <w:r w:rsidRPr="00AF5450">
              <w:rPr>
                <w:rFonts w:ascii="Arial" w:hAnsi="Arial" w:cs="Arial"/>
                <w:sz w:val="18"/>
                <w:szCs w:val="18"/>
              </w:rPr>
              <w:t>25</w:t>
            </w:r>
          </w:p>
        </w:tc>
        <w:tc>
          <w:tcPr>
            <w:tcW w:w="907" w:type="dxa"/>
            <w:tcBorders>
              <w:top w:val="single" w:sz="4" w:space="0" w:color="C0C0C0"/>
              <w:left w:val="single" w:sz="4" w:space="0" w:color="000000"/>
              <w:bottom w:val="single" w:sz="4" w:space="0" w:color="C0C0C0"/>
              <w:right w:val="single" w:sz="4" w:space="0" w:color="auto"/>
            </w:tcBorders>
            <w:shd w:val="clear" w:color="auto" w:fill="FFFFFF" w:themeFill="background1"/>
            <w:vAlign w:val="center"/>
          </w:tcPr>
          <w:p w14:paraId="7FDA78FA" w14:textId="0B731C57" w:rsidR="00AF5450" w:rsidRPr="00AF5450" w:rsidRDefault="00AF5450" w:rsidP="003E5EE1">
            <w:pPr>
              <w:jc w:val="center"/>
              <w:rPr>
                <w:rFonts w:ascii="Arial" w:hAnsi="Arial" w:cs="Arial"/>
                <w:sz w:val="18"/>
                <w:szCs w:val="18"/>
              </w:rPr>
            </w:pPr>
            <w:r w:rsidRPr="00AF5450">
              <w:rPr>
                <w:rFonts w:ascii="Arial" w:hAnsi="Arial" w:cs="Arial"/>
                <w:sz w:val="18"/>
                <w:szCs w:val="18"/>
              </w:rPr>
              <w:t>10</w:t>
            </w:r>
          </w:p>
        </w:tc>
      </w:tr>
      <w:tr w:rsidR="00AF5450" w:rsidRPr="00CA3984" w14:paraId="02B08AB6" w14:textId="77777777" w:rsidTr="00542ABB">
        <w:trPr>
          <w:cantSplit/>
          <w:trHeight w:val="105"/>
          <w:jc w:val="center"/>
        </w:trPr>
        <w:tc>
          <w:tcPr>
            <w:tcW w:w="568" w:type="dxa"/>
            <w:vMerge/>
            <w:tcBorders>
              <w:left w:val="single" w:sz="4" w:space="0" w:color="auto"/>
              <w:right w:val="single" w:sz="4" w:space="0" w:color="000000"/>
            </w:tcBorders>
            <w:shd w:val="clear" w:color="auto" w:fill="F2F2F2"/>
          </w:tcPr>
          <w:p w14:paraId="530AA8B1" w14:textId="77777777" w:rsidR="00AF5450" w:rsidRPr="00CA3984" w:rsidRDefault="00AF5450" w:rsidP="00B933AA">
            <w:pPr>
              <w:jc w:val="center"/>
              <w:rPr>
                <w:rFonts w:ascii="Arial" w:hAnsi="Arial" w:cs="Arial"/>
                <w:sz w:val="18"/>
                <w:szCs w:val="18"/>
              </w:rPr>
            </w:pPr>
          </w:p>
        </w:tc>
        <w:tc>
          <w:tcPr>
            <w:tcW w:w="3249" w:type="dxa"/>
            <w:tcBorders>
              <w:top w:val="single" w:sz="4" w:space="0" w:color="C0C0C0"/>
              <w:left w:val="single" w:sz="4" w:space="0" w:color="auto"/>
              <w:bottom w:val="single" w:sz="4" w:space="0" w:color="C0C0C0"/>
              <w:right w:val="single" w:sz="4" w:space="0" w:color="000000"/>
            </w:tcBorders>
            <w:shd w:val="clear" w:color="auto" w:fill="FF66FF"/>
            <w:vAlign w:val="center"/>
          </w:tcPr>
          <w:p w14:paraId="6B3EF6C4" w14:textId="66A7EBB7" w:rsidR="00AF5450" w:rsidRPr="00AF5450" w:rsidRDefault="00AF5450" w:rsidP="00B933AA">
            <w:pPr>
              <w:jc w:val="center"/>
              <w:rPr>
                <w:rFonts w:ascii="Arial" w:hAnsi="Arial" w:cs="Arial"/>
                <w:sz w:val="18"/>
                <w:szCs w:val="18"/>
              </w:rPr>
            </w:pPr>
            <w:r w:rsidRPr="00AF5450">
              <w:rPr>
                <w:rFonts w:ascii="Arial" w:hAnsi="Arial" w:cs="Arial"/>
                <w:sz w:val="18"/>
                <w:szCs w:val="18"/>
              </w:rPr>
              <w:t>Hematita compacta (</w:t>
            </w:r>
            <w:r w:rsidRPr="00542ABB">
              <w:rPr>
                <w:rFonts w:ascii="Arial" w:hAnsi="Arial" w:cs="Arial"/>
                <w:b/>
                <w:sz w:val="18"/>
                <w:szCs w:val="18"/>
              </w:rPr>
              <w:t>HC</w:t>
            </w:r>
            <w:r w:rsidRPr="00AF5450">
              <w:rPr>
                <w:rFonts w:ascii="Arial" w:hAnsi="Arial" w:cs="Arial"/>
                <w:sz w:val="18"/>
                <w:szCs w:val="18"/>
              </w:rPr>
              <w:t>)</w:t>
            </w:r>
          </w:p>
        </w:tc>
        <w:tc>
          <w:tcPr>
            <w:tcW w:w="907" w:type="dxa"/>
            <w:tcBorders>
              <w:top w:val="single" w:sz="4" w:space="0" w:color="C0C0C0"/>
              <w:left w:val="single" w:sz="4" w:space="0" w:color="000000"/>
              <w:bottom w:val="single" w:sz="4" w:space="0" w:color="C0C0C0"/>
              <w:right w:val="single" w:sz="4" w:space="0" w:color="000000"/>
            </w:tcBorders>
            <w:shd w:val="clear" w:color="auto" w:fill="FFFFFF" w:themeFill="background1"/>
            <w:vAlign w:val="center"/>
          </w:tcPr>
          <w:p w14:paraId="7C6D4EA6" w14:textId="5F83B1FA" w:rsidR="00AF5450" w:rsidRPr="00AF5450" w:rsidRDefault="00AF5450" w:rsidP="003E5EE1">
            <w:pPr>
              <w:jc w:val="center"/>
              <w:rPr>
                <w:rFonts w:ascii="Arial" w:hAnsi="Arial" w:cs="Arial"/>
                <w:sz w:val="18"/>
                <w:szCs w:val="18"/>
              </w:rPr>
            </w:pPr>
            <w:r w:rsidRPr="00AF5450">
              <w:rPr>
                <w:rFonts w:ascii="Arial" w:hAnsi="Arial" w:cs="Arial"/>
                <w:sz w:val="18"/>
                <w:szCs w:val="18"/>
              </w:rPr>
              <w:t>6</w:t>
            </w:r>
          </w:p>
        </w:tc>
        <w:tc>
          <w:tcPr>
            <w:tcW w:w="907" w:type="dxa"/>
            <w:tcBorders>
              <w:top w:val="single" w:sz="4" w:space="0" w:color="C0C0C0"/>
              <w:left w:val="single" w:sz="4" w:space="0" w:color="000000"/>
              <w:bottom w:val="single" w:sz="4" w:space="0" w:color="C0C0C0"/>
              <w:right w:val="single" w:sz="4" w:space="0" w:color="000000"/>
            </w:tcBorders>
            <w:shd w:val="clear" w:color="auto" w:fill="FFFFFF" w:themeFill="background1"/>
            <w:vAlign w:val="center"/>
          </w:tcPr>
          <w:p w14:paraId="2CA21586" w14:textId="6A1C8F34" w:rsidR="00AF5450" w:rsidRPr="00AF5450" w:rsidRDefault="00AF5450" w:rsidP="003E5EE1">
            <w:pPr>
              <w:jc w:val="center"/>
              <w:rPr>
                <w:rFonts w:ascii="Arial" w:hAnsi="Arial" w:cs="Arial"/>
                <w:sz w:val="18"/>
                <w:szCs w:val="18"/>
              </w:rPr>
            </w:pPr>
            <w:r w:rsidRPr="00AF5450">
              <w:rPr>
                <w:rFonts w:ascii="Arial" w:hAnsi="Arial" w:cs="Arial"/>
                <w:sz w:val="18"/>
                <w:szCs w:val="18"/>
              </w:rPr>
              <w:t>9</w:t>
            </w:r>
          </w:p>
        </w:tc>
        <w:tc>
          <w:tcPr>
            <w:tcW w:w="907" w:type="dxa"/>
            <w:tcBorders>
              <w:top w:val="single" w:sz="4" w:space="0" w:color="C0C0C0"/>
              <w:left w:val="single" w:sz="4" w:space="0" w:color="000000"/>
              <w:bottom w:val="single" w:sz="4" w:space="0" w:color="C0C0C0"/>
              <w:right w:val="single" w:sz="4" w:space="0" w:color="000000"/>
            </w:tcBorders>
            <w:shd w:val="clear" w:color="auto" w:fill="FFFFFF" w:themeFill="background1"/>
            <w:vAlign w:val="center"/>
          </w:tcPr>
          <w:p w14:paraId="397C4F7F" w14:textId="41CA738B" w:rsidR="00AF5450" w:rsidRPr="00AF5450" w:rsidRDefault="00542ABB" w:rsidP="00542ABB">
            <w:pPr>
              <w:jc w:val="center"/>
              <w:rPr>
                <w:rFonts w:ascii="Arial" w:hAnsi="Arial" w:cs="Arial"/>
                <w:sz w:val="18"/>
                <w:szCs w:val="18"/>
              </w:rPr>
            </w:pPr>
            <w:r>
              <w:rPr>
                <w:rFonts w:ascii="Arial" w:hAnsi="Arial" w:cs="Arial"/>
                <w:sz w:val="18"/>
                <w:szCs w:val="18"/>
              </w:rPr>
              <w:t>-</w:t>
            </w:r>
          </w:p>
        </w:tc>
        <w:tc>
          <w:tcPr>
            <w:tcW w:w="907" w:type="dxa"/>
            <w:tcBorders>
              <w:top w:val="single" w:sz="4" w:space="0" w:color="C0C0C0"/>
              <w:left w:val="single" w:sz="4" w:space="0" w:color="000000"/>
              <w:bottom w:val="single" w:sz="4" w:space="0" w:color="C0C0C0"/>
              <w:right w:val="single" w:sz="4" w:space="0" w:color="000000"/>
            </w:tcBorders>
            <w:shd w:val="clear" w:color="auto" w:fill="FFFFFF" w:themeFill="background1"/>
            <w:vAlign w:val="center"/>
          </w:tcPr>
          <w:p w14:paraId="0B9B66AD" w14:textId="550DA04D" w:rsidR="00AF5450" w:rsidRPr="00AF5450" w:rsidRDefault="00542ABB" w:rsidP="00542ABB">
            <w:pPr>
              <w:jc w:val="center"/>
              <w:rPr>
                <w:rFonts w:ascii="Arial" w:hAnsi="Arial" w:cs="Arial"/>
                <w:sz w:val="18"/>
                <w:szCs w:val="18"/>
              </w:rPr>
            </w:pPr>
            <w:r>
              <w:rPr>
                <w:rFonts w:ascii="Arial" w:hAnsi="Arial" w:cs="Arial"/>
                <w:sz w:val="18"/>
                <w:szCs w:val="18"/>
              </w:rPr>
              <w:t>-</w:t>
            </w:r>
          </w:p>
        </w:tc>
        <w:tc>
          <w:tcPr>
            <w:tcW w:w="907" w:type="dxa"/>
            <w:tcBorders>
              <w:top w:val="single" w:sz="4" w:space="0" w:color="C0C0C0"/>
              <w:left w:val="single" w:sz="4" w:space="0" w:color="000000"/>
              <w:bottom w:val="single" w:sz="4" w:space="0" w:color="C0C0C0"/>
              <w:right w:val="single" w:sz="4" w:space="0" w:color="000000"/>
            </w:tcBorders>
            <w:shd w:val="clear" w:color="auto" w:fill="FFFFFF" w:themeFill="background1"/>
            <w:vAlign w:val="center"/>
          </w:tcPr>
          <w:p w14:paraId="26186D7B" w14:textId="50782D93" w:rsidR="00AF5450" w:rsidRPr="00AF5450" w:rsidRDefault="00AF5450" w:rsidP="003E5EE1">
            <w:pPr>
              <w:jc w:val="center"/>
              <w:rPr>
                <w:rFonts w:ascii="Arial" w:hAnsi="Arial" w:cs="Arial"/>
                <w:sz w:val="18"/>
                <w:szCs w:val="18"/>
              </w:rPr>
            </w:pPr>
            <w:r w:rsidRPr="00AF5450">
              <w:rPr>
                <w:rFonts w:ascii="Arial" w:hAnsi="Arial" w:cs="Arial"/>
                <w:sz w:val="18"/>
                <w:szCs w:val="18"/>
              </w:rPr>
              <w:t>21</w:t>
            </w:r>
          </w:p>
        </w:tc>
        <w:tc>
          <w:tcPr>
            <w:tcW w:w="907" w:type="dxa"/>
            <w:tcBorders>
              <w:top w:val="single" w:sz="4" w:space="0" w:color="C0C0C0"/>
              <w:left w:val="single" w:sz="4" w:space="0" w:color="000000"/>
              <w:bottom w:val="single" w:sz="4" w:space="0" w:color="C0C0C0"/>
              <w:right w:val="single" w:sz="4" w:space="0" w:color="000000"/>
            </w:tcBorders>
            <w:shd w:val="clear" w:color="auto" w:fill="FFFFFF" w:themeFill="background1"/>
            <w:vAlign w:val="center"/>
          </w:tcPr>
          <w:p w14:paraId="5B598B71" w14:textId="33C14BE3" w:rsidR="00AF5450" w:rsidRPr="00AF5450" w:rsidRDefault="00AF5450" w:rsidP="003E5EE1">
            <w:pPr>
              <w:jc w:val="center"/>
              <w:rPr>
                <w:rFonts w:ascii="Arial" w:hAnsi="Arial" w:cs="Arial"/>
                <w:sz w:val="18"/>
                <w:szCs w:val="18"/>
              </w:rPr>
            </w:pPr>
            <w:r w:rsidRPr="00AF5450">
              <w:rPr>
                <w:rFonts w:ascii="Arial" w:hAnsi="Arial" w:cs="Arial"/>
                <w:sz w:val="18"/>
                <w:szCs w:val="18"/>
              </w:rPr>
              <w:t>-</w:t>
            </w:r>
          </w:p>
        </w:tc>
        <w:tc>
          <w:tcPr>
            <w:tcW w:w="907" w:type="dxa"/>
            <w:tcBorders>
              <w:top w:val="single" w:sz="4" w:space="0" w:color="C0C0C0"/>
              <w:left w:val="single" w:sz="4" w:space="0" w:color="000000"/>
              <w:bottom w:val="single" w:sz="4" w:space="0" w:color="C0C0C0"/>
              <w:right w:val="single" w:sz="4" w:space="0" w:color="auto"/>
            </w:tcBorders>
            <w:shd w:val="clear" w:color="auto" w:fill="FFFFFF" w:themeFill="background1"/>
            <w:vAlign w:val="center"/>
          </w:tcPr>
          <w:p w14:paraId="6C47345B" w14:textId="3BFDC295" w:rsidR="00AF5450" w:rsidRPr="00AF5450" w:rsidRDefault="00AF5450" w:rsidP="003E5EE1">
            <w:pPr>
              <w:jc w:val="center"/>
              <w:rPr>
                <w:rFonts w:ascii="Arial" w:hAnsi="Arial" w:cs="Arial"/>
                <w:sz w:val="18"/>
                <w:szCs w:val="18"/>
              </w:rPr>
            </w:pPr>
            <w:r w:rsidRPr="00AF5450">
              <w:rPr>
                <w:rFonts w:ascii="Arial" w:hAnsi="Arial" w:cs="Arial"/>
                <w:sz w:val="18"/>
                <w:szCs w:val="18"/>
              </w:rPr>
              <w:t>-</w:t>
            </w:r>
          </w:p>
        </w:tc>
      </w:tr>
      <w:tr w:rsidR="00AF5450" w:rsidRPr="00CA3984" w14:paraId="08413381" w14:textId="77777777" w:rsidTr="00542ABB">
        <w:trPr>
          <w:cantSplit/>
          <w:trHeight w:val="227"/>
          <w:jc w:val="center"/>
        </w:trPr>
        <w:tc>
          <w:tcPr>
            <w:tcW w:w="568" w:type="dxa"/>
            <w:vMerge/>
            <w:tcBorders>
              <w:left w:val="single" w:sz="4" w:space="0" w:color="auto"/>
              <w:right w:val="single" w:sz="4" w:space="0" w:color="000000"/>
            </w:tcBorders>
            <w:shd w:val="clear" w:color="auto" w:fill="F2F2F2"/>
          </w:tcPr>
          <w:p w14:paraId="39CC8156" w14:textId="77777777" w:rsidR="00AF5450" w:rsidRDefault="00AF5450" w:rsidP="003E5EE1">
            <w:pPr>
              <w:jc w:val="center"/>
              <w:rPr>
                <w:rFonts w:ascii="Arial" w:hAnsi="Arial" w:cs="Arial"/>
                <w:sz w:val="18"/>
                <w:szCs w:val="18"/>
              </w:rPr>
            </w:pPr>
          </w:p>
        </w:tc>
        <w:tc>
          <w:tcPr>
            <w:tcW w:w="3249" w:type="dxa"/>
            <w:tcBorders>
              <w:top w:val="single" w:sz="4" w:space="0" w:color="C0C0C0"/>
              <w:left w:val="single" w:sz="4" w:space="0" w:color="auto"/>
              <w:bottom w:val="single" w:sz="4" w:space="0" w:color="C0C0C0"/>
              <w:right w:val="single" w:sz="4" w:space="0" w:color="000000"/>
            </w:tcBorders>
            <w:shd w:val="clear" w:color="auto" w:fill="66FFFF"/>
            <w:vAlign w:val="center"/>
          </w:tcPr>
          <w:p w14:paraId="3BA9EB16" w14:textId="5AF666A4" w:rsidR="00AF5450" w:rsidRPr="00AF5450" w:rsidRDefault="00AF5450" w:rsidP="003E5EE1">
            <w:pPr>
              <w:jc w:val="center"/>
              <w:rPr>
                <w:rFonts w:ascii="Arial" w:hAnsi="Arial" w:cs="Arial"/>
                <w:sz w:val="18"/>
                <w:szCs w:val="18"/>
              </w:rPr>
            </w:pPr>
            <w:r w:rsidRPr="00AF5450">
              <w:rPr>
                <w:rFonts w:ascii="Arial" w:hAnsi="Arial" w:cs="Arial"/>
                <w:sz w:val="18"/>
                <w:szCs w:val="18"/>
              </w:rPr>
              <w:t>Itabirito brando (</w:t>
            </w:r>
            <w:r w:rsidRPr="00542ABB">
              <w:rPr>
                <w:rFonts w:ascii="Arial" w:hAnsi="Arial" w:cs="Arial"/>
                <w:b/>
                <w:sz w:val="18"/>
                <w:szCs w:val="18"/>
              </w:rPr>
              <w:t>IB</w:t>
            </w:r>
            <w:r w:rsidRPr="00AF5450">
              <w:rPr>
                <w:rFonts w:ascii="Arial" w:hAnsi="Arial" w:cs="Arial"/>
                <w:sz w:val="18"/>
                <w:szCs w:val="18"/>
              </w:rPr>
              <w:t>)</w:t>
            </w:r>
          </w:p>
        </w:tc>
        <w:tc>
          <w:tcPr>
            <w:tcW w:w="907" w:type="dxa"/>
            <w:tcBorders>
              <w:top w:val="single" w:sz="4" w:space="0" w:color="C0C0C0"/>
              <w:left w:val="single" w:sz="4" w:space="0" w:color="000000"/>
              <w:bottom w:val="single" w:sz="4" w:space="0" w:color="C0C0C0"/>
              <w:right w:val="single" w:sz="4" w:space="0" w:color="000000"/>
            </w:tcBorders>
            <w:shd w:val="clear" w:color="auto" w:fill="FFFFFF" w:themeFill="background1"/>
            <w:vAlign w:val="center"/>
          </w:tcPr>
          <w:p w14:paraId="721AF775" w14:textId="721E19D6" w:rsidR="00AF5450" w:rsidRPr="00AF5450" w:rsidRDefault="00AF5450" w:rsidP="003E5EE1">
            <w:pPr>
              <w:jc w:val="center"/>
              <w:rPr>
                <w:rFonts w:ascii="Arial" w:hAnsi="Arial" w:cs="Arial"/>
                <w:sz w:val="18"/>
                <w:szCs w:val="18"/>
              </w:rPr>
            </w:pPr>
            <w:r w:rsidRPr="00AF5450">
              <w:rPr>
                <w:rFonts w:ascii="Arial" w:hAnsi="Arial" w:cs="Arial"/>
                <w:sz w:val="18"/>
                <w:szCs w:val="18"/>
              </w:rPr>
              <w:t>30</w:t>
            </w:r>
          </w:p>
        </w:tc>
        <w:tc>
          <w:tcPr>
            <w:tcW w:w="907" w:type="dxa"/>
            <w:tcBorders>
              <w:top w:val="single" w:sz="4" w:space="0" w:color="C0C0C0"/>
              <w:left w:val="single" w:sz="4" w:space="0" w:color="000000"/>
              <w:bottom w:val="single" w:sz="4" w:space="0" w:color="C0C0C0"/>
              <w:right w:val="single" w:sz="4" w:space="0" w:color="000000"/>
            </w:tcBorders>
            <w:shd w:val="clear" w:color="auto" w:fill="FFFFFF" w:themeFill="background1"/>
            <w:vAlign w:val="center"/>
          </w:tcPr>
          <w:p w14:paraId="45583B14" w14:textId="6624600E" w:rsidR="00AF5450" w:rsidRPr="00AF5450" w:rsidRDefault="00AF5450" w:rsidP="003E5EE1">
            <w:pPr>
              <w:jc w:val="center"/>
              <w:rPr>
                <w:rFonts w:ascii="Arial" w:hAnsi="Arial" w:cs="Arial"/>
                <w:sz w:val="18"/>
                <w:szCs w:val="18"/>
              </w:rPr>
            </w:pPr>
            <w:r w:rsidRPr="00AF5450">
              <w:rPr>
                <w:rFonts w:ascii="Arial" w:hAnsi="Arial" w:cs="Arial"/>
                <w:sz w:val="18"/>
                <w:szCs w:val="18"/>
              </w:rPr>
              <w:t>65</w:t>
            </w:r>
          </w:p>
        </w:tc>
        <w:tc>
          <w:tcPr>
            <w:tcW w:w="907" w:type="dxa"/>
            <w:tcBorders>
              <w:top w:val="single" w:sz="4" w:space="0" w:color="C0C0C0"/>
              <w:left w:val="single" w:sz="4" w:space="0" w:color="000000"/>
              <w:bottom w:val="single" w:sz="4" w:space="0" w:color="C0C0C0"/>
              <w:right w:val="single" w:sz="4" w:space="0" w:color="000000"/>
            </w:tcBorders>
            <w:shd w:val="clear" w:color="auto" w:fill="FFFFFF" w:themeFill="background1"/>
            <w:vAlign w:val="center"/>
          </w:tcPr>
          <w:p w14:paraId="641D6E25" w14:textId="4B289749" w:rsidR="00AF5450" w:rsidRPr="006E6E91" w:rsidRDefault="00542ABB" w:rsidP="003E5EE1">
            <w:pPr>
              <w:jc w:val="center"/>
              <w:rPr>
                <w:rFonts w:ascii="Arial" w:hAnsi="Arial" w:cs="Arial"/>
                <w:sz w:val="18"/>
                <w:szCs w:val="18"/>
              </w:rPr>
            </w:pPr>
            <w:r w:rsidRPr="006E6E91">
              <w:rPr>
                <w:rFonts w:ascii="Arial" w:hAnsi="Arial" w:cs="Arial"/>
                <w:sz w:val="18"/>
                <w:szCs w:val="18"/>
              </w:rPr>
              <w:t>69</w:t>
            </w:r>
          </w:p>
        </w:tc>
        <w:tc>
          <w:tcPr>
            <w:tcW w:w="907" w:type="dxa"/>
            <w:tcBorders>
              <w:top w:val="single" w:sz="4" w:space="0" w:color="C0C0C0"/>
              <w:left w:val="single" w:sz="4" w:space="0" w:color="000000"/>
              <w:bottom w:val="single" w:sz="4" w:space="0" w:color="C0C0C0"/>
              <w:right w:val="single" w:sz="4" w:space="0" w:color="000000"/>
            </w:tcBorders>
            <w:shd w:val="clear" w:color="auto" w:fill="FFFFFF" w:themeFill="background1"/>
            <w:vAlign w:val="center"/>
          </w:tcPr>
          <w:p w14:paraId="1426BE8C" w14:textId="30AA4D47" w:rsidR="00AF5450" w:rsidRPr="00AF5450" w:rsidRDefault="00AF5450" w:rsidP="003E5EE1">
            <w:pPr>
              <w:jc w:val="center"/>
              <w:rPr>
                <w:rFonts w:ascii="Arial" w:hAnsi="Arial" w:cs="Arial"/>
                <w:sz w:val="18"/>
                <w:szCs w:val="18"/>
              </w:rPr>
            </w:pPr>
            <w:r w:rsidRPr="00AF5450">
              <w:rPr>
                <w:rFonts w:ascii="Arial" w:hAnsi="Arial" w:cs="Arial"/>
                <w:sz w:val="18"/>
                <w:szCs w:val="18"/>
              </w:rPr>
              <w:t>-</w:t>
            </w:r>
          </w:p>
        </w:tc>
        <w:tc>
          <w:tcPr>
            <w:tcW w:w="907" w:type="dxa"/>
            <w:tcBorders>
              <w:top w:val="single" w:sz="4" w:space="0" w:color="C0C0C0"/>
              <w:left w:val="single" w:sz="4" w:space="0" w:color="000000"/>
              <w:bottom w:val="single" w:sz="4" w:space="0" w:color="C0C0C0"/>
              <w:right w:val="single" w:sz="4" w:space="0" w:color="000000"/>
            </w:tcBorders>
            <w:shd w:val="clear" w:color="auto" w:fill="FFFFFF" w:themeFill="background1"/>
            <w:vAlign w:val="center"/>
          </w:tcPr>
          <w:p w14:paraId="239C0745" w14:textId="33B3C518" w:rsidR="00AF5450" w:rsidRPr="00AF5450" w:rsidRDefault="00AF5450" w:rsidP="003E5EE1">
            <w:pPr>
              <w:jc w:val="center"/>
              <w:rPr>
                <w:rFonts w:ascii="Arial" w:hAnsi="Arial" w:cs="Arial"/>
                <w:sz w:val="18"/>
                <w:szCs w:val="18"/>
              </w:rPr>
            </w:pPr>
            <w:r w:rsidRPr="00AF5450">
              <w:rPr>
                <w:rFonts w:ascii="Arial" w:hAnsi="Arial" w:cs="Arial"/>
                <w:sz w:val="18"/>
                <w:szCs w:val="18"/>
              </w:rPr>
              <w:t>-</w:t>
            </w:r>
          </w:p>
        </w:tc>
        <w:tc>
          <w:tcPr>
            <w:tcW w:w="907" w:type="dxa"/>
            <w:tcBorders>
              <w:top w:val="single" w:sz="4" w:space="0" w:color="C0C0C0"/>
              <w:left w:val="single" w:sz="4" w:space="0" w:color="000000"/>
              <w:bottom w:val="single" w:sz="4" w:space="0" w:color="C0C0C0"/>
              <w:right w:val="single" w:sz="4" w:space="0" w:color="000000"/>
            </w:tcBorders>
            <w:shd w:val="clear" w:color="auto" w:fill="FFFFFF" w:themeFill="background1"/>
            <w:vAlign w:val="center"/>
          </w:tcPr>
          <w:p w14:paraId="42E72AC6" w14:textId="00CCCC2E" w:rsidR="00AF5450" w:rsidRPr="00AF5450" w:rsidRDefault="00AF5450" w:rsidP="003E5EE1">
            <w:pPr>
              <w:jc w:val="center"/>
              <w:rPr>
                <w:rFonts w:ascii="Arial" w:hAnsi="Arial" w:cs="Arial"/>
                <w:sz w:val="18"/>
                <w:szCs w:val="18"/>
              </w:rPr>
            </w:pPr>
            <w:r w:rsidRPr="00AF5450">
              <w:rPr>
                <w:rFonts w:ascii="Arial" w:hAnsi="Arial" w:cs="Arial"/>
                <w:sz w:val="18"/>
                <w:szCs w:val="18"/>
              </w:rPr>
              <w:t>-</w:t>
            </w:r>
          </w:p>
        </w:tc>
        <w:tc>
          <w:tcPr>
            <w:tcW w:w="907" w:type="dxa"/>
            <w:tcBorders>
              <w:top w:val="single" w:sz="4" w:space="0" w:color="C0C0C0"/>
              <w:left w:val="single" w:sz="4" w:space="0" w:color="000000"/>
              <w:bottom w:val="single" w:sz="4" w:space="0" w:color="C0C0C0"/>
              <w:right w:val="single" w:sz="4" w:space="0" w:color="auto"/>
            </w:tcBorders>
            <w:shd w:val="clear" w:color="auto" w:fill="FFFFFF" w:themeFill="background1"/>
            <w:vAlign w:val="center"/>
          </w:tcPr>
          <w:p w14:paraId="4FD70E02" w14:textId="21D030FD" w:rsidR="00AF5450" w:rsidRPr="00AF5450" w:rsidRDefault="00AF5450" w:rsidP="003E5EE1">
            <w:pPr>
              <w:jc w:val="center"/>
              <w:rPr>
                <w:rFonts w:ascii="Arial" w:hAnsi="Arial" w:cs="Arial"/>
                <w:sz w:val="18"/>
                <w:szCs w:val="18"/>
              </w:rPr>
            </w:pPr>
            <w:r w:rsidRPr="00AF5450">
              <w:rPr>
                <w:rFonts w:ascii="Arial" w:hAnsi="Arial" w:cs="Arial"/>
                <w:sz w:val="18"/>
                <w:szCs w:val="18"/>
              </w:rPr>
              <w:t>40</w:t>
            </w:r>
          </w:p>
        </w:tc>
      </w:tr>
      <w:tr w:rsidR="00AF5450" w:rsidRPr="00CA3984" w14:paraId="780AACFF" w14:textId="77777777" w:rsidTr="00542ABB">
        <w:trPr>
          <w:cantSplit/>
          <w:trHeight w:val="227"/>
          <w:jc w:val="center"/>
        </w:trPr>
        <w:tc>
          <w:tcPr>
            <w:tcW w:w="568" w:type="dxa"/>
            <w:vMerge/>
            <w:tcBorders>
              <w:left w:val="single" w:sz="4" w:space="0" w:color="auto"/>
              <w:right w:val="single" w:sz="4" w:space="0" w:color="000000"/>
            </w:tcBorders>
            <w:shd w:val="clear" w:color="auto" w:fill="FFFFFF"/>
          </w:tcPr>
          <w:p w14:paraId="620F203F" w14:textId="77777777" w:rsidR="00AF5450" w:rsidRPr="00CA3984" w:rsidRDefault="00AF5450" w:rsidP="003E5EE1">
            <w:pPr>
              <w:jc w:val="center"/>
              <w:rPr>
                <w:rFonts w:ascii="Arial" w:hAnsi="Arial" w:cs="Arial"/>
                <w:sz w:val="18"/>
                <w:szCs w:val="18"/>
              </w:rPr>
            </w:pPr>
          </w:p>
        </w:tc>
        <w:tc>
          <w:tcPr>
            <w:tcW w:w="3249" w:type="dxa"/>
            <w:tcBorders>
              <w:top w:val="single" w:sz="4" w:space="0" w:color="C0C0C0"/>
              <w:left w:val="single" w:sz="4" w:space="0" w:color="auto"/>
              <w:bottom w:val="single" w:sz="4" w:space="0" w:color="C0C0C0"/>
              <w:right w:val="single" w:sz="4" w:space="0" w:color="000000"/>
            </w:tcBorders>
            <w:shd w:val="clear" w:color="auto" w:fill="2E74B5" w:themeFill="accent1" w:themeFillShade="BF"/>
            <w:vAlign w:val="center"/>
          </w:tcPr>
          <w:p w14:paraId="2F7DA74F" w14:textId="758A9F53" w:rsidR="00AF5450" w:rsidRPr="00AF5450" w:rsidRDefault="00AF5450" w:rsidP="003E5EE1">
            <w:pPr>
              <w:jc w:val="center"/>
              <w:rPr>
                <w:rFonts w:ascii="Arial" w:hAnsi="Arial" w:cs="Arial"/>
                <w:sz w:val="18"/>
                <w:szCs w:val="18"/>
              </w:rPr>
            </w:pPr>
            <w:r w:rsidRPr="00AF5450">
              <w:rPr>
                <w:rFonts w:ascii="Arial" w:hAnsi="Arial" w:cs="Arial"/>
                <w:sz w:val="18"/>
                <w:szCs w:val="18"/>
              </w:rPr>
              <w:t>Itabirito compacto (</w:t>
            </w:r>
            <w:r w:rsidRPr="00542ABB">
              <w:rPr>
                <w:rFonts w:ascii="Arial" w:hAnsi="Arial" w:cs="Arial"/>
                <w:b/>
                <w:sz w:val="18"/>
                <w:szCs w:val="18"/>
              </w:rPr>
              <w:t>IC</w:t>
            </w:r>
            <w:r w:rsidRPr="00AF5450">
              <w:rPr>
                <w:rFonts w:ascii="Arial" w:hAnsi="Arial" w:cs="Arial"/>
                <w:sz w:val="18"/>
                <w:szCs w:val="18"/>
              </w:rPr>
              <w:t>)</w:t>
            </w:r>
          </w:p>
        </w:tc>
        <w:tc>
          <w:tcPr>
            <w:tcW w:w="907" w:type="dxa"/>
            <w:tcBorders>
              <w:top w:val="single" w:sz="4" w:space="0" w:color="C0C0C0"/>
              <w:left w:val="single" w:sz="4" w:space="0" w:color="000000"/>
              <w:bottom w:val="single" w:sz="4" w:space="0" w:color="C0C0C0"/>
              <w:right w:val="single" w:sz="4" w:space="0" w:color="000000"/>
            </w:tcBorders>
            <w:shd w:val="clear" w:color="auto" w:fill="FFFFFF"/>
            <w:vAlign w:val="center"/>
          </w:tcPr>
          <w:p w14:paraId="3F5E4628" w14:textId="65120B32" w:rsidR="00AF5450" w:rsidRPr="00AF5450" w:rsidRDefault="00AF5450" w:rsidP="003E5EE1">
            <w:pPr>
              <w:jc w:val="center"/>
              <w:rPr>
                <w:rFonts w:ascii="Arial" w:hAnsi="Arial" w:cs="Arial"/>
                <w:sz w:val="18"/>
                <w:szCs w:val="18"/>
              </w:rPr>
            </w:pPr>
            <w:r w:rsidRPr="00AF5450">
              <w:rPr>
                <w:rFonts w:ascii="Arial" w:hAnsi="Arial" w:cs="Arial"/>
                <w:sz w:val="18"/>
                <w:szCs w:val="18"/>
              </w:rPr>
              <w:t>-</w:t>
            </w:r>
          </w:p>
        </w:tc>
        <w:tc>
          <w:tcPr>
            <w:tcW w:w="907" w:type="dxa"/>
            <w:tcBorders>
              <w:top w:val="single" w:sz="4" w:space="0" w:color="C0C0C0"/>
              <w:left w:val="single" w:sz="4" w:space="0" w:color="000000"/>
              <w:bottom w:val="single" w:sz="4" w:space="0" w:color="C0C0C0"/>
              <w:right w:val="single" w:sz="4" w:space="0" w:color="000000"/>
            </w:tcBorders>
            <w:shd w:val="clear" w:color="auto" w:fill="FFFFFF"/>
            <w:vAlign w:val="center"/>
          </w:tcPr>
          <w:p w14:paraId="5182D583" w14:textId="45A8C015" w:rsidR="00AF5450" w:rsidRPr="00AF5450" w:rsidRDefault="00AF5450" w:rsidP="003E5EE1">
            <w:pPr>
              <w:jc w:val="center"/>
              <w:rPr>
                <w:rFonts w:ascii="Arial" w:hAnsi="Arial" w:cs="Arial"/>
                <w:sz w:val="18"/>
                <w:szCs w:val="18"/>
              </w:rPr>
            </w:pPr>
            <w:r w:rsidRPr="00AF5450">
              <w:rPr>
                <w:rFonts w:ascii="Arial" w:hAnsi="Arial" w:cs="Arial"/>
                <w:sz w:val="18"/>
                <w:szCs w:val="18"/>
              </w:rPr>
              <w:t>3</w:t>
            </w:r>
          </w:p>
        </w:tc>
        <w:tc>
          <w:tcPr>
            <w:tcW w:w="907" w:type="dxa"/>
            <w:tcBorders>
              <w:top w:val="single" w:sz="4" w:space="0" w:color="C0C0C0"/>
              <w:left w:val="single" w:sz="4" w:space="0" w:color="000000"/>
              <w:bottom w:val="single" w:sz="4" w:space="0" w:color="C0C0C0"/>
              <w:right w:val="single" w:sz="4" w:space="0" w:color="000000"/>
            </w:tcBorders>
            <w:shd w:val="clear" w:color="auto" w:fill="FFFFFF"/>
            <w:vAlign w:val="center"/>
          </w:tcPr>
          <w:p w14:paraId="4E172C3D" w14:textId="488EAA4C" w:rsidR="00AF5450" w:rsidRPr="006E6E91" w:rsidRDefault="006E6E91" w:rsidP="003E5EE1">
            <w:pPr>
              <w:jc w:val="center"/>
              <w:rPr>
                <w:rFonts w:ascii="Arial" w:hAnsi="Arial" w:cs="Arial"/>
                <w:sz w:val="18"/>
                <w:szCs w:val="18"/>
              </w:rPr>
            </w:pPr>
            <w:r w:rsidRPr="006E6E91">
              <w:rPr>
                <w:rFonts w:ascii="Arial" w:hAnsi="Arial" w:cs="Arial"/>
                <w:sz w:val="18"/>
                <w:szCs w:val="18"/>
              </w:rPr>
              <w:t>28</w:t>
            </w:r>
          </w:p>
        </w:tc>
        <w:tc>
          <w:tcPr>
            <w:tcW w:w="907" w:type="dxa"/>
            <w:tcBorders>
              <w:top w:val="single" w:sz="4" w:space="0" w:color="C0C0C0"/>
              <w:left w:val="single" w:sz="4" w:space="0" w:color="000000"/>
              <w:bottom w:val="single" w:sz="4" w:space="0" w:color="C0C0C0"/>
              <w:right w:val="single" w:sz="4" w:space="0" w:color="000000"/>
            </w:tcBorders>
            <w:shd w:val="clear" w:color="auto" w:fill="FFFFFF"/>
            <w:vAlign w:val="center"/>
          </w:tcPr>
          <w:p w14:paraId="770C70EB" w14:textId="1D658764" w:rsidR="00AF5450" w:rsidRPr="00AF5450" w:rsidRDefault="00AF5450" w:rsidP="003E5EE1">
            <w:pPr>
              <w:jc w:val="center"/>
              <w:rPr>
                <w:rFonts w:ascii="Arial" w:hAnsi="Arial" w:cs="Arial"/>
                <w:sz w:val="18"/>
                <w:szCs w:val="18"/>
              </w:rPr>
            </w:pPr>
            <w:r w:rsidRPr="00AF5450">
              <w:rPr>
                <w:rFonts w:ascii="Arial" w:hAnsi="Arial" w:cs="Arial"/>
                <w:sz w:val="18"/>
                <w:szCs w:val="18"/>
              </w:rPr>
              <w:t>-</w:t>
            </w:r>
          </w:p>
        </w:tc>
        <w:tc>
          <w:tcPr>
            <w:tcW w:w="907" w:type="dxa"/>
            <w:tcBorders>
              <w:top w:val="single" w:sz="4" w:space="0" w:color="C0C0C0"/>
              <w:left w:val="single" w:sz="4" w:space="0" w:color="000000"/>
              <w:bottom w:val="single" w:sz="4" w:space="0" w:color="C0C0C0"/>
              <w:right w:val="single" w:sz="4" w:space="0" w:color="000000"/>
            </w:tcBorders>
            <w:shd w:val="clear" w:color="auto" w:fill="FFFFFF"/>
            <w:vAlign w:val="center"/>
          </w:tcPr>
          <w:p w14:paraId="57E38B26" w14:textId="327C27CC" w:rsidR="00AF5450" w:rsidRPr="00AF5450" w:rsidRDefault="00AF5450" w:rsidP="003E5EE1">
            <w:pPr>
              <w:jc w:val="center"/>
              <w:rPr>
                <w:rFonts w:ascii="Arial" w:hAnsi="Arial" w:cs="Arial"/>
                <w:sz w:val="18"/>
                <w:szCs w:val="18"/>
              </w:rPr>
            </w:pPr>
            <w:r w:rsidRPr="00AF5450">
              <w:rPr>
                <w:rFonts w:ascii="Arial" w:hAnsi="Arial" w:cs="Arial"/>
                <w:sz w:val="18"/>
                <w:szCs w:val="18"/>
              </w:rPr>
              <w:t>19</w:t>
            </w:r>
          </w:p>
        </w:tc>
        <w:tc>
          <w:tcPr>
            <w:tcW w:w="907" w:type="dxa"/>
            <w:tcBorders>
              <w:top w:val="single" w:sz="4" w:space="0" w:color="C0C0C0"/>
              <w:left w:val="single" w:sz="4" w:space="0" w:color="000000"/>
              <w:bottom w:val="single" w:sz="4" w:space="0" w:color="C0C0C0"/>
              <w:right w:val="single" w:sz="4" w:space="0" w:color="000000"/>
            </w:tcBorders>
            <w:shd w:val="clear" w:color="auto" w:fill="FFFFFF"/>
            <w:vAlign w:val="center"/>
          </w:tcPr>
          <w:p w14:paraId="69BC2038" w14:textId="3E09B089" w:rsidR="00AF5450" w:rsidRPr="00AF5450" w:rsidRDefault="00AF5450" w:rsidP="003E5EE1">
            <w:pPr>
              <w:jc w:val="center"/>
              <w:rPr>
                <w:rFonts w:ascii="Arial" w:hAnsi="Arial" w:cs="Arial"/>
                <w:sz w:val="18"/>
                <w:szCs w:val="18"/>
              </w:rPr>
            </w:pPr>
            <w:r w:rsidRPr="00AF5450">
              <w:rPr>
                <w:rFonts w:ascii="Arial" w:hAnsi="Arial" w:cs="Arial"/>
                <w:sz w:val="18"/>
                <w:szCs w:val="18"/>
              </w:rPr>
              <w:t>8</w:t>
            </w:r>
          </w:p>
        </w:tc>
        <w:tc>
          <w:tcPr>
            <w:tcW w:w="907" w:type="dxa"/>
            <w:tcBorders>
              <w:top w:val="single" w:sz="4" w:space="0" w:color="C0C0C0"/>
              <w:left w:val="single" w:sz="4" w:space="0" w:color="000000"/>
              <w:bottom w:val="single" w:sz="4" w:space="0" w:color="C0C0C0"/>
              <w:right w:val="single" w:sz="4" w:space="0" w:color="auto"/>
            </w:tcBorders>
            <w:shd w:val="clear" w:color="auto" w:fill="FFFFFF"/>
            <w:vAlign w:val="center"/>
          </w:tcPr>
          <w:p w14:paraId="62F54FFE" w14:textId="44CC3A0A" w:rsidR="00AF5450" w:rsidRPr="00AF5450" w:rsidRDefault="00AF5450" w:rsidP="003E5EE1">
            <w:pPr>
              <w:jc w:val="center"/>
              <w:rPr>
                <w:rFonts w:ascii="Arial" w:hAnsi="Arial" w:cs="Arial"/>
                <w:sz w:val="18"/>
                <w:szCs w:val="18"/>
              </w:rPr>
            </w:pPr>
            <w:r w:rsidRPr="00AF5450">
              <w:rPr>
                <w:rFonts w:ascii="Arial" w:hAnsi="Arial" w:cs="Arial"/>
                <w:sz w:val="18"/>
                <w:szCs w:val="18"/>
              </w:rPr>
              <w:t>50</w:t>
            </w:r>
          </w:p>
        </w:tc>
      </w:tr>
      <w:tr w:rsidR="00AF5450" w:rsidRPr="00CA3984" w14:paraId="139DC450" w14:textId="77777777" w:rsidTr="00542ABB">
        <w:trPr>
          <w:cantSplit/>
          <w:trHeight w:val="227"/>
          <w:jc w:val="center"/>
        </w:trPr>
        <w:tc>
          <w:tcPr>
            <w:tcW w:w="568" w:type="dxa"/>
            <w:vMerge/>
            <w:tcBorders>
              <w:left w:val="single" w:sz="4" w:space="0" w:color="auto"/>
              <w:right w:val="single" w:sz="4" w:space="0" w:color="000000"/>
            </w:tcBorders>
            <w:shd w:val="clear" w:color="auto" w:fill="FFFFFF"/>
          </w:tcPr>
          <w:p w14:paraId="4C6F9434" w14:textId="77777777" w:rsidR="00AF5450" w:rsidRPr="00CA3984" w:rsidRDefault="00AF5450" w:rsidP="003E5EE1">
            <w:pPr>
              <w:jc w:val="center"/>
              <w:rPr>
                <w:rFonts w:ascii="Arial" w:hAnsi="Arial" w:cs="Arial"/>
                <w:sz w:val="18"/>
                <w:szCs w:val="18"/>
              </w:rPr>
            </w:pPr>
          </w:p>
        </w:tc>
        <w:tc>
          <w:tcPr>
            <w:tcW w:w="3249" w:type="dxa"/>
            <w:tcBorders>
              <w:top w:val="single" w:sz="4" w:space="0" w:color="C0C0C0"/>
              <w:left w:val="single" w:sz="4" w:space="0" w:color="auto"/>
              <w:bottom w:val="single" w:sz="4" w:space="0" w:color="C0C0C0"/>
              <w:right w:val="single" w:sz="4" w:space="0" w:color="000000"/>
            </w:tcBorders>
            <w:shd w:val="clear" w:color="auto" w:fill="FF9933"/>
            <w:vAlign w:val="center"/>
          </w:tcPr>
          <w:p w14:paraId="5B5470E3" w14:textId="7954FCB5" w:rsidR="00AF5450" w:rsidRPr="00AF5450" w:rsidRDefault="00AF5450" w:rsidP="003E5EE1">
            <w:pPr>
              <w:jc w:val="center"/>
              <w:rPr>
                <w:rFonts w:ascii="Arial" w:hAnsi="Arial" w:cs="Arial"/>
                <w:sz w:val="18"/>
                <w:szCs w:val="18"/>
              </w:rPr>
            </w:pPr>
            <w:r w:rsidRPr="00AF5450">
              <w:rPr>
                <w:rFonts w:ascii="Arial" w:hAnsi="Arial" w:cs="Arial"/>
                <w:sz w:val="18"/>
                <w:szCs w:val="18"/>
              </w:rPr>
              <w:t>Itabirito argiloso brando (</w:t>
            </w:r>
            <w:r w:rsidRPr="00542ABB">
              <w:rPr>
                <w:rFonts w:ascii="Arial" w:hAnsi="Arial" w:cs="Arial"/>
                <w:b/>
                <w:sz w:val="18"/>
                <w:szCs w:val="18"/>
              </w:rPr>
              <w:t>IAB</w:t>
            </w:r>
            <w:r w:rsidRPr="00AF5450">
              <w:rPr>
                <w:rFonts w:ascii="Arial" w:hAnsi="Arial" w:cs="Arial"/>
                <w:sz w:val="18"/>
                <w:szCs w:val="18"/>
              </w:rPr>
              <w:t>)</w:t>
            </w:r>
          </w:p>
        </w:tc>
        <w:tc>
          <w:tcPr>
            <w:tcW w:w="907" w:type="dxa"/>
            <w:tcBorders>
              <w:top w:val="single" w:sz="4" w:space="0" w:color="C0C0C0"/>
              <w:left w:val="single" w:sz="4" w:space="0" w:color="000000"/>
              <w:bottom w:val="single" w:sz="4" w:space="0" w:color="C0C0C0"/>
              <w:right w:val="single" w:sz="4" w:space="0" w:color="000000"/>
            </w:tcBorders>
            <w:shd w:val="clear" w:color="auto" w:fill="FFFFFF"/>
            <w:vAlign w:val="center"/>
          </w:tcPr>
          <w:p w14:paraId="105C067B" w14:textId="32BC1F59" w:rsidR="00AF5450" w:rsidRPr="00AF5450" w:rsidRDefault="00AF5450" w:rsidP="003E5EE1">
            <w:pPr>
              <w:jc w:val="center"/>
              <w:rPr>
                <w:rFonts w:ascii="Arial" w:hAnsi="Arial" w:cs="Arial"/>
                <w:sz w:val="18"/>
                <w:szCs w:val="18"/>
              </w:rPr>
            </w:pPr>
            <w:r w:rsidRPr="00AF5450">
              <w:rPr>
                <w:rFonts w:ascii="Arial" w:hAnsi="Arial" w:cs="Arial"/>
                <w:sz w:val="18"/>
                <w:szCs w:val="18"/>
              </w:rPr>
              <w:t>24</w:t>
            </w:r>
          </w:p>
        </w:tc>
        <w:tc>
          <w:tcPr>
            <w:tcW w:w="907" w:type="dxa"/>
            <w:tcBorders>
              <w:top w:val="single" w:sz="4" w:space="0" w:color="C0C0C0"/>
              <w:left w:val="single" w:sz="4" w:space="0" w:color="000000"/>
              <w:bottom w:val="single" w:sz="4" w:space="0" w:color="C0C0C0"/>
              <w:right w:val="single" w:sz="4" w:space="0" w:color="000000"/>
            </w:tcBorders>
            <w:shd w:val="clear" w:color="auto" w:fill="FFFFFF"/>
            <w:vAlign w:val="center"/>
          </w:tcPr>
          <w:p w14:paraId="5639F0C8" w14:textId="35279FDD" w:rsidR="00AF5450" w:rsidRPr="00AF5450" w:rsidRDefault="00AF5450" w:rsidP="003E5EE1">
            <w:pPr>
              <w:jc w:val="center"/>
              <w:rPr>
                <w:rFonts w:ascii="Arial" w:hAnsi="Arial" w:cs="Arial"/>
                <w:sz w:val="18"/>
                <w:szCs w:val="18"/>
              </w:rPr>
            </w:pPr>
            <w:r w:rsidRPr="00AF5450">
              <w:rPr>
                <w:rFonts w:ascii="Arial" w:hAnsi="Arial" w:cs="Arial"/>
                <w:sz w:val="18"/>
                <w:szCs w:val="18"/>
              </w:rPr>
              <w:t>-</w:t>
            </w:r>
          </w:p>
        </w:tc>
        <w:tc>
          <w:tcPr>
            <w:tcW w:w="907" w:type="dxa"/>
            <w:tcBorders>
              <w:top w:val="single" w:sz="4" w:space="0" w:color="C0C0C0"/>
              <w:left w:val="single" w:sz="4" w:space="0" w:color="000000"/>
              <w:bottom w:val="single" w:sz="4" w:space="0" w:color="C0C0C0"/>
              <w:right w:val="single" w:sz="4" w:space="0" w:color="000000"/>
            </w:tcBorders>
            <w:shd w:val="clear" w:color="auto" w:fill="FFFFFF"/>
            <w:vAlign w:val="center"/>
          </w:tcPr>
          <w:p w14:paraId="61421461" w14:textId="2DD02CD4" w:rsidR="00AF5450" w:rsidRPr="006E6E91" w:rsidRDefault="006E6E91" w:rsidP="003E5EE1">
            <w:pPr>
              <w:jc w:val="center"/>
              <w:rPr>
                <w:rFonts w:ascii="Arial" w:hAnsi="Arial" w:cs="Arial"/>
                <w:sz w:val="18"/>
                <w:szCs w:val="18"/>
              </w:rPr>
            </w:pPr>
            <w:r w:rsidRPr="006E6E91">
              <w:rPr>
                <w:rFonts w:ascii="Arial" w:hAnsi="Arial" w:cs="Arial"/>
                <w:sz w:val="18"/>
                <w:szCs w:val="18"/>
              </w:rPr>
              <w:t>3</w:t>
            </w:r>
          </w:p>
        </w:tc>
        <w:tc>
          <w:tcPr>
            <w:tcW w:w="907" w:type="dxa"/>
            <w:tcBorders>
              <w:top w:val="single" w:sz="4" w:space="0" w:color="C0C0C0"/>
              <w:left w:val="single" w:sz="4" w:space="0" w:color="000000"/>
              <w:bottom w:val="single" w:sz="4" w:space="0" w:color="C0C0C0"/>
              <w:right w:val="single" w:sz="4" w:space="0" w:color="000000"/>
            </w:tcBorders>
            <w:shd w:val="clear" w:color="auto" w:fill="FFFFFF"/>
            <w:vAlign w:val="center"/>
          </w:tcPr>
          <w:p w14:paraId="1B70A15B" w14:textId="354DE0CB" w:rsidR="00AF5450" w:rsidRPr="00AF5450" w:rsidRDefault="00AF5450" w:rsidP="003E5EE1">
            <w:pPr>
              <w:jc w:val="center"/>
              <w:rPr>
                <w:rFonts w:ascii="Arial" w:hAnsi="Arial" w:cs="Arial"/>
                <w:sz w:val="18"/>
                <w:szCs w:val="18"/>
              </w:rPr>
            </w:pPr>
            <w:r w:rsidRPr="00AF5450">
              <w:rPr>
                <w:rFonts w:ascii="Arial" w:hAnsi="Arial" w:cs="Arial"/>
                <w:sz w:val="18"/>
                <w:szCs w:val="18"/>
              </w:rPr>
              <w:t>-</w:t>
            </w:r>
          </w:p>
        </w:tc>
        <w:tc>
          <w:tcPr>
            <w:tcW w:w="907" w:type="dxa"/>
            <w:tcBorders>
              <w:top w:val="single" w:sz="4" w:space="0" w:color="C0C0C0"/>
              <w:left w:val="single" w:sz="4" w:space="0" w:color="000000"/>
              <w:bottom w:val="single" w:sz="4" w:space="0" w:color="C0C0C0"/>
              <w:right w:val="single" w:sz="4" w:space="0" w:color="000000"/>
            </w:tcBorders>
            <w:shd w:val="clear" w:color="auto" w:fill="FFFFFF"/>
            <w:vAlign w:val="center"/>
          </w:tcPr>
          <w:p w14:paraId="2FA20AD8" w14:textId="40D4D5C7" w:rsidR="00AF5450" w:rsidRPr="00AF5450" w:rsidRDefault="00AF5450" w:rsidP="003E5EE1">
            <w:pPr>
              <w:jc w:val="center"/>
              <w:rPr>
                <w:rFonts w:ascii="Arial" w:hAnsi="Arial" w:cs="Arial"/>
                <w:sz w:val="18"/>
                <w:szCs w:val="18"/>
              </w:rPr>
            </w:pPr>
            <w:r w:rsidRPr="00AF5450">
              <w:rPr>
                <w:rFonts w:ascii="Arial" w:hAnsi="Arial" w:cs="Arial"/>
                <w:sz w:val="18"/>
                <w:szCs w:val="18"/>
              </w:rPr>
              <w:t>-</w:t>
            </w:r>
          </w:p>
        </w:tc>
        <w:tc>
          <w:tcPr>
            <w:tcW w:w="907" w:type="dxa"/>
            <w:tcBorders>
              <w:top w:val="single" w:sz="4" w:space="0" w:color="C0C0C0"/>
              <w:left w:val="single" w:sz="4" w:space="0" w:color="000000"/>
              <w:bottom w:val="single" w:sz="4" w:space="0" w:color="C0C0C0"/>
              <w:right w:val="single" w:sz="4" w:space="0" w:color="000000"/>
            </w:tcBorders>
            <w:shd w:val="clear" w:color="auto" w:fill="FFFFFF"/>
            <w:vAlign w:val="center"/>
          </w:tcPr>
          <w:p w14:paraId="2EB9B724" w14:textId="7A9D911B" w:rsidR="00AF5450" w:rsidRPr="00AF5450" w:rsidRDefault="00AF5450" w:rsidP="003E5EE1">
            <w:pPr>
              <w:jc w:val="center"/>
              <w:rPr>
                <w:rFonts w:ascii="Arial" w:hAnsi="Arial" w:cs="Arial"/>
                <w:sz w:val="18"/>
                <w:szCs w:val="18"/>
              </w:rPr>
            </w:pPr>
            <w:r w:rsidRPr="00AF5450">
              <w:rPr>
                <w:rFonts w:ascii="Arial" w:hAnsi="Arial" w:cs="Arial"/>
                <w:sz w:val="18"/>
                <w:szCs w:val="18"/>
              </w:rPr>
              <w:t>41</w:t>
            </w:r>
          </w:p>
        </w:tc>
        <w:tc>
          <w:tcPr>
            <w:tcW w:w="907" w:type="dxa"/>
            <w:tcBorders>
              <w:top w:val="single" w:sz="4" w:space="0" w:color="C0C0C0"/>
              <w:left w:val="single" w:sz="4" w:space="0" w:color="000000"/>
              <w:bottom w:val="single" w:sz="4" w:space="0" w:color="C0C0C0"/>
              <w:right w:val="single" w:sz="4" w:space="0" w:color="auto"/>
            </w:tcBorders>
            <w:shd w:val="clear" w:color="auto" w:fill="FFFFFF"/>
            <w:vAlign w:val="center"/>
          </w:tcPr>
          <w:p w14:paraId="76F0EC14" w14:textId="458C4D33" w:rsidR="00AF5450" w:rsidRPr="00AF5450" w:rsidRDefault="00AF5450" w:rsidP="003E5EE1">
            <w:pPr>
              <w:jc w:val="center"/>
              <w:rPr>
                <w:rFonts w:ascii="Arial" w:hAnsi="Arial" w:cs="Arial"/>
                <w:sz w:val="18"/>
                <w:szCs w:val="18"/>
              </w:rPr>
            </w:pPr>
            <w:r w:rsidRPr="00AF5450">
              <w:rPr>
                <w:rFonts w:ascii="Arial" w:hAnsi="Arial" w:cs="Arial"/>
                <w:sz w:val="18"/>
                <w:szCs w:val="18"/>
              </w:rPr>
              <w:t>-</w:t>
            </w:r>
          </w:p>
        </w:tc>
      </w:tr>
      <w:tr w:rsidR="00AF5450" w:rsidRPr="00CA3984" w14:paraId="1A006448" w14:textId="77777777" w:rsidTr="00542ABB">
        <w:trPr>
          <w:cantSplit/>
          <w:trHeight w:val="227"/>
          <w:jc w:val="center"/>
        </w:trPr>
        <w:tc>
          <w:tcPr>
            <w:tcW w:w="568" w:type="dxa"/>
            <w:vMerge/>
            <w:tcBorders>
              <w:left w:val="single" w:sz="4" w:space="0" w:color="auto"/>
              <w:right w:val="single" w:sz="4" w:space="0" w:color="000000"/>
            </w:tcBorders>
            <w:shd w:val="clear" w:color="auto" w:fill="FFFFFF"/>
          </w:tcPr>
          <w:p w14:paraId="531611A3" w14:textId="77777777" w:rsidR="00AF5450" w:rsidRPr="00CA3984" w:rsidRDefault="00AF5450" w:rsidP="003E5EE1">
            <w:pPr>
              <w:jc w:val="center"/>
              <w:rPr>
                <w:rFonts w:ascii="Arial" w:hAnsi="Arial" w:cs="Arial"/>
                <w:sz w:val="18"/>
                <w:szCs w:val="18"/>
              </w:rPr>
            </w:pPr>
          </w:p>
        </w:tc>
        <w:tc>
          <w:tcPr>
            <w:tcW w:w="3249" w:type="dxa"/>
            <w:tcBorders>
              <w:top w:val="single" w:sz="4" w:space="0" w:color="C0C0C0"/>
              <w:left w:val="single" w:sz="4" w:space="0" w:color="auto"/>
              <w:bottom w:val="single" w:sz="4" w:space="0" w:color="C0C0C0"/>
              <w:right w:val="single" w:sz="4" w:space="0" w:color="000000"/>
            </w:tcBorders>
            <w:shd w:val="clear" w:color="auto" w:fill="806000" w:themeFill="accent4" w:themeFillShade="80"/>
            <w:vAlign w:val="center"/>
          </w:tcPr>
          <w:p w14:paraId="350400F1" w14:textId="6F9570D2" w:rsidR="00AF5450" w:rsidRPr="00AF5450" w:rsidRDefault="00AF5450" w:rsidP="003E5EE1">
            <w:pPr>
              <w:jc w:val="center"/>
              <w:rPr>
                <w:rFonts w:ascii="Arial" w:hAnsi="Arial" w:cs="Arial"/>
                <w:sz w:val="18"/>
                <w:szCs w:val="18"/>
              </w:rPr>
            </w:pPr>
            <w:r w:rsidRPr="00AF5450">
              <w:rPr>
                <w:rFonts w:ascii="Arial" w:hAnsi="Arial" w:cs="Arial"/>
                <w:sz w:val="18"/>
                <w:szCs w:val="18"/>
              </w:rPr>
              <w:t>Itabirito argiloso compacto (</w:t>
            </w:r>
            <w:r w:rsidRPr="00542ABB">
              <w:rPr>
                <w:rFonts w:ascii="Arial" w:hAnsi="Arial" w:cs="Arial"/>
                <w:b/>
                <w:sz w:val="18"/>
                <w:szCs w:val="18"/>
              </w:rPr>
              <w:t>IAC</w:t>
            </w:r>
            <w:r w:rsidRPr="00AF5450">
              <w:rPr>
                <w:rFonts w:ascii="Arial" w:hAnsi="Arial" w:cs="Arial"/>
                <w:sz w:val="18"/>
                <w:szCs w:val="18"/>
              </w:rPr>
              <w:t>)</w:t>
            </w:r>
          </w:p>
        </w:tc>
        <w:tc>
          <w:tcPr>
            <w:tcW w:w="907" w:type="dxa"/>
            <w:tcBorders>
              <w:top w:val="single" w:sz="4" w:space="0" w:color="C0C0C0"/>
              <w:left w:val="single" w:sz="4" w:space="0" w:color="000000"/>
              <w:bottom w:val="single" w:sz="4" w:space="0" w:color="C0C0C0"/>
              <w:right w:val="single" w:sz="4" w:space="0" w:color="000000"/>
            </w:tcBorders>
            <w:shd w:val="clear" w:color="auto" w:fill="FFFFFF"/>
            <w:vAlign w:val="center"/>
          </w:tcPr>
          <w:p w14:paraId="5132B159" w14:textId="1B0D18A8" w:rsidR="00AF5450" w:rsidRPr="00AF5450" w:rsidRDefault="00AF5450" w:rsidP="003E5EE1">
            <w:pPr>
              <w:jc w:val="center"/>
              <w:rPr>
                <w:rFonts w:ascii="Arial" w:hAnsi="Arial" w:cs="Arial"/>
                <w:sz w:val="18"/>
                <w:szCs w:val="18"/>
              </w:rPr>
            </w:pPr>
            <w:r w:rsidRPr="00AF5450">
              <w:rPr>
                <w:rFonts w:ascii="Arial" w:hAnsi="Arial" w:cs="Arial"/>
                <w:sz w:val="18"/>
                <w:szCs w:val="18"/>
              </w:rPr>
              <w:t>-</w:t>
            </w:r>
          </w:p>
        </w:tc>
        <w:tc>
          <w:tcPr>
            <w:tcW w:w="907" w:type="dxa"/>
            <w:tcBorders>
              <w:top w:val="single" w:sz="4" w:space="0" w:color="C0C0C0"/>
              <w:left w:val="single" w:sz="4" w:space="0" w:color="000000"/>
              <w:bottom w:val="single" w:sz="4" w:space="0" w:color="C0C0C0"/>
              <w:right w:val="single" w:sz="4" w:space="0" w:color="000000"/>
            </w:tcBorders>
            <w:shd w:val="clear" w:color="auto" w:fill="FFFFFF"/>
            <w:vAlign w:val="center"/>
          </w:tcPr>
          <w:p w14:paraId="161C3109" w14:textId="062FAED6" w:rsidR="00AF5450" w:rsidRPr="00AF5450" w:rsidRDefault="00AF5450" w:rsidP="003E5EE1">
            <w:pPr>
              <w:jc w:val="center"/>
              <w:rPr>
                <w:rFonts w:ascii="Arial" w:hAnsi="Arial" w:cs="Arial"/>
                <w:sz w:val="18"/>
                <w:szCs w:val="18"/>
              </w:rPr>
            </w:pPr>
            <w:r w:rsidRPr="00AF5450">
              <w:rPr>
                <w:rFonts w:ascii="Arial" w:hAnsi="Arial" w:cs="Arial"/>
                <w:sz w:val="18"/>
                <w:szCs w:val="18"/>
              </w:rPr>
              <w:t>-</w:t>
            </w:r>
          </w:p>
        </w:tc>
        <w:tc>
          <w:tcPr>
            <w:tcW w:w="907" w:type="dxa"/>
            <w:tcBorders>
              <w:top w:val="single" w:sz="4" w:space="0" w:color="C0C0C0"/>
              <w:left w:val="single" w:sz="4" w:space="0" w:color="000000"/>
              <w:bottom w:val="single" w:sz="4" w:space="0" w:color="C0C0C0"/>
              <w:right w:val="single" w:sz="4" w:space="0" w:color="000000"/>
            </w:tcBorders>
            <w:shd w:val="clear" w:color="auto" w:fill="FFFFFF"/>
            <w:vAlign w:val="center"/>
          </w:tcPr>
          <w:p w14:paraId="40B1822E" w14:textId="40265EBC" w:rsidR="00AF5450" w:rsidRPr="00AF5450" w:rsidRDefault="00AF5450" w:rsidP="003E5EE1">
            <w:pPr>
              <w:jc w:val="center"/>
              <w:rPr>
                <w:rFonts w:ascii="Arial" w:hAnsi="Arial" w:cs="Arial"/>
                <w:sz w:val="18"/>
                <w:szCs w:val="18"/>
              </w:rPr>
            </w:pPr>
            <w:r w:rsidRPr="00AF5450">
              <w:rPr>
                <w:rFonts w:ascii="Arial" w:hAnsi="Arial" w:cs="Arial"/>
                <w:sz w:val="18"/>
                <w:szCs w:val="18"/>
              </w:rPr>
              <w:t>-</w:t>
            </w:r>
          </w:p>
        </w:tc>
        <w:tc>
          <w:tcPr>
            <w:tcW w:w="907" w:type="dxa"/>
            <w:tcBorders>
              <w:top w:val="single" w:sz="4" w:space="0" w:color="C0C0C0"/>
              <w:left w:val="single" w:sz="4" w:space="0" w:color="000000"/>
              <w:bottom w:val="single" w:sz="4" w:space="0" w:color="C0C0C0"/>
              <w:right w:val="single" w:sz="4" w:space="0" w:color="000000"/>
            </w:tcBorders>
            <w:shd w:val="clear" w:color="auto" w:fill="FFFFFF"/>
            <w:vAlign w:val="center"/>
          </w:tcPr>
          <w:p w14:paraId="34821A6A" w14:textId="7986B6F9" w:rsidR="00AF5450" w:rsidRPr="00AF5450" w:rsidRDefault="00AF5450" w:rsidP="003E5EE1">
            <w:pPr>
              <w:jc w:val="center"/>
              <w:rPr>
                <w:rFonts w:ascii="Arial" w:hAnsi="Arial" w:cs="Arial"/>
                <w:sz w:val="18"/>
                <w:szCs w:val="18"/>
              </w:rPr>
            </w:pPr>
            <w:r w:rsidRPr="00AF5450">
              <w:rPr>
                <w:rFonts w:ascii="Arial" w:hAnsi="Arial" w:cs="Arial"/>
                <w:sz w:val="18"/>
                <w:szCs w:val="18"/>
              </w:rPr>
              <w:t>-</w:t>
            </w:r>
          </w:p>
        </w:tc>
        <w:tc>
          <w:tcPr>
            <w:tcW w:w="907" w:type="dxa"/>
            <w:tcBorders>
              <w:top w:val="single" w:sz="4" w:space="0" w:color="C0C0C0"/>
              <w:left w:val="single" w:sz="4" w:space="0" w:color="000000"/>
              <w:bottom w:val="single" w:sz="4" w:space="0" w:color="C0C0C0"/>
              <w:right w:val="single" w:sz="4" w:space="0" w:color="000000"/>
            </w:tcBorders>
            <w:shd w:val="clear" w:color="auto" w:fill="FFFFFF"/>
            <w:vAlign w:val="center"/>
          </w:tcPr>
          <w:p w14:paraId="651E65C3" w14:textId="6077AE02" w:rsidR="00AF5450" w:rsidRPr="00AF5450" w:rsidRDefault="00AF5450" w:rsidP="003E5EE1">
            <w:pPr>
              <w:jc w:val="center"/>
              <w:rPr>
                <w:rFonts w:ascii="Arial" w:hAnsi="Arial" w:cs="Arial"/>
                <w:sz w:val="18"/>
                <w:szCs w:val="18"/>
              </w:rPr>
            </w:pPr>
            <w:r w:rsidRPr="00AF5450">
              <w:rPr>
                <w:rFonts w:ascii="Arial" w:hAnsi="Arial" w:cs="Arial"/>
                <w:sz w:val="18"/>
                <w:szCs w:val="18"/>
              </w:rPr>
              <w:t>-</w:t>
            </w:r>
          </w:p>
        </w:tc>
        <w:tc>
          <w:tcPr>
            <w:tcW w:w="907" w:type="dxa"/>
            <w:tcBorders>
              <w:top w:val="single" w:sz="4" w:space="0" w:color="C0C0C0"/>
              <w:left w:val="single" w:sz="4" w:space="0" w:color="000000"/>
              <w:bottom w:val="single" w:sz="4" w:space="0" w:color="C0C0C0"/>
              <w:right w:val="single" w:sz="4" w:space="0" w:color="000000"/>
            </w:tcBorders>
            <w:shd w:val="clear" w:color="auto" w:fill="FFFFFF"/>
            <w:vAlign w:val="center"/>
          </w:tcPr>
          <w:p w14:paraId="6B0D9EE9" w14:textId="378C4E09" w:rsidR="00AF5450" w:rsidRPr="00AF5450" w:rsidRDefault="00AF5450" w:rsidP="003E5EE1">
            <w:pPr>
              <w:jc w:val="center"/>
              <w:rPr>
                <w:rFonts w:ascii="Arial" w:hAnsi="Arial" w:cs="Arial"/>
                <w:sz w:val="18"/>
                <w:szCs w:val="18"/>
              </w:rPr>
            </w:pPr>
            <w:r w:rsidRPr="00AF5450">
              <w:rPr>
                <w:rFonts w:ascii="Arial" w:hAnsi="Arial" w:cs="Arial"/>
                <w:sz w:val="18"/>
                <w:szCs w:val="18"/>
              </w:rPr>
              <w:t>26</w:t>
            </w:r>
          </w:p>
        </w:tc>
        <w:tc>
          <w:tcPr>
            <w:tcW w:w="907" w:type="dxa"/>
            <w:tcBorders>
              <w:top w:val="single" w:sz="4" w:space="0" w:color="C0C0C0"/>
              <w:left w:val="single" w:sz="4" w:space="0" w:color="000000"/>
              <w:bottom w:val="single" w:sz="4" w:space="0" w:color="C0C0C0"/>
              <w:right w:val="single" w:sz="4" w:space="0" w:color="auto"/>
            </w:tcBorders>
            <w:shd w:val="clear" w:color="auto" w:fill="FFFFFF"/>
            <w:vAlign w:val="center"/>
          </w:tcPr>
          <w:p w14:paraId="153B2B7F" w14:textId="6A5B7FC8" w:rsidR="00AF5450" w:rsidRPr="00AF5450" w:rsidRDefault="00AF5450" w:rsidP="003E5EE1">
            <w:pPr>
              <w:jc w:val="center"/>
              <w:rPr>
                <w:rFonts w:ascii="Arial" w:hAnsi="Arial" w:cs="Arial"/>
                <w:sz w:val="18"/>
                <w:szCs w:val="18"/>
              </w:rPr>
            </w:pPr>
            <w:r w:rsidRPr="00AF5450">
              <w:rPr>
                <w:rFonts w:ascii="Arial" w:hAnsi="Arial" w:cs="Arial"/>
                <w:sz w:val="18"/>
                <w:szCs w:val="18"/>
              </w:rPr>
              <w:t>-</w:t>
            </w:r>
          </w:p>
        </w:tc>
      </w:tr>
      <w:tr w:rsidR="00AF5450" w:rsidRPr="00CA3984" w14:paraId="0879B9D5" w14:textId="77777777" w:rsidTr="00542ABB">
        <w:trPr>
          <w:cantSplit/>
          <w:trHeight w:val="227"/>
          <w:jc w:val="center"/>
        </w:trPr>
        <w:tc>
          <w:tcPr>
            <w:tcW w:w="568" w:type="dxa"/>
            <w:vMerge/>
            <w:tcBorders>
              <w:left w:val="single" w:sz="4" w:space="0" w:color="auto"/>
              <w:right w:val="single" w:sz="4" w:space="0" w:color="000000"/>
            </w:tcBorders>
            <w:shd w:val="clear" w:color="auto" w:fill="FFFFFF"/>
          </w:tcPr>
          <w:p w14:paraId="3842F4E5" w14:textId="77777777" w:rsidR="00AF5450" w:rsidRPr="00CA3984" w:rsidRDefault="00AF5450" w:rsidP="00AF5450">
            <w:pPr>
              <w:jc w:val="center"/>
              <w:rPr>
                <w:rFonts w:ascii="Arial" w:hAnsi="Arial" w:cs="Arial"/>
                <w:sz w:val="18"/>
                <w:szCs w:val="18"/>
              </w:rPr>
            </w:pPr>
          </w:p>
        </w:tc>
        <w:tc>
          <w:tcPr>
            <w:tcW w:w="3249" w:type="dxa"/>
            <w:tcBorders>
              <w:top w:val="single" w:sz="4" w:space="0" w:color="C0C0C0"/>
              <w:left w:val="single" w:sz="4" w:space="0" w:color="auto"/>
              <w:bottom w:val="single" w:sz="4" w:space="0" w:color="C0C0C0"/>
              <w:right w:val="single" w:sz="4" w:space="0" w:color="000000"/>
            </w:tcBorders>
            <w:shd w:val="clear" w:color="auto" w:fill="66FF33"/>
            <w:vAlign w:val="center"/>
          </w:tcPr>
          <w:p w14:paraId="7BDBDDE4" w14:textId="10AF830B" w:rsidR="00AF5450" w:rsidRPr="00AF5450" w:rsidRDefault="00AF5450" w:rsidP="00AF5450">
            <w:pPr>
              <w:jc w:val="center"/>
              <w:rPr>
                <w:rFonts w:ascii="Arial" w:hAnsi="Arial" w:cs="Arial"/>
                <w:sz w:val="18"/>
                <w:szCs w:val="18"/>
              </w:rPr>
            </w:pPr>
            <w:r w:rsidRPr="00AF5450">
              <w:rPr>
                <w:rFonts w:ascii="Arial" w:hAnsi="Arial" w:cs="Arial"/>
                <w:sz w:val="18"/>
                <w:szCs w:val="18"/>
              </w:rPr>
              <w:t>Itabirito carbonático brando (</w:t>
            </w:r>
            <w:r w:rsidRPr="00542ABB">
              <w:rPr>
                <w:rFonts w:ascii="Arial" w:hAnsi="Arial" w:cs="Arial"/>
                <w:b/>
                <w:sz w:val="18"/>
                <w:szCs w:val="18"/>
              </w:rPr>
              <w:t>ICB</w:t>
            </w:r>
            <w:r w:rsidRPr="00AF5450">
              <w:rPr>
                <w:rFonts w:ascii="Arial" w:hAnsi="Arial" w:cs="Arial"/>
                <w:sz w:val="18"/>
                <w:szCs w:val="18"/>
              </w:rPr>
              <w:t>)</w:t>
            </w:r>
          </w:p>
        </w:tc>
        <w:tc>
          <w:tcPr>
            <w:tcW w:w="907" w:type="dxa"/>
            <w:tcBorders>
              <w:top w:val="single" w:sz="4" w:space="0" w:color="C0C0C0"/>
              <w:left w:val="single" w:sz="4" w:space="0" w:color="000000"/>
              <w:bottom w:val="single" w:sz="4" w:space="0" w:color="C0C0C0"/>
              <w:right w:val="single" w:sz="4" w:space="0" w:color="000000"/>
            </w:tcBorders>
            <w:shd w:val="clear" w:color="auto" w:fill="FFFFFF"/>
            <w:vAlign w:val="center"/>
          </w:tcPr>
          <w:p w14:paraId="70C683CA" w14:textId="0E49E431" w:rsidR="00AF5450" w:rsidRPr="00AF5450" w:rsidRDefault="00AF5450" w:rsidP="00AF5450">
            <w:pPr>
              <w:jc w:val="center"/>
              <w:rPr>
                <w:rFonts w:ascii="Arial" w:hAnsi="Arial" w:cs="Arial"/>
                <w:sz w:val="18"/>
                <w:szCs w:val="18"/>
              </w:rPr>
            </w:pPr>
            <w:r w:rsidRPr="00AF5450">
              <w:rPr>
                <w:rFonts w:ascii="Arial" w:hAnsi="Arial" w:cs="Arial"/>
                <w:sz w:val="18"/>
                <w:szCs w:val="18"/>
              </w:rPr>
              <w:t>11</w:t>
            </w:r>
          </w:p>
        </w:tc>
        <w:tc>
          <w:tcPr>
            <w:tcW w:w="907" w:type="dxa"/>
            <w:tcBorders>
              <w:top w:val="single" w:sz="4" w:space="0" w:color="C0C0C0"/>
              <w:left w:val="single" w:sz="4" w:space="0" w:color="000000"/>
              <w:bottom w:val="single" w:sz="4" w:space="0" w:color="C0C0C0"/>
              <w:right w:val="single" w:sz="4" w:space="0" w:color="000000"/>
            </w:tcBorders>
            <w:shd w:val="clear" w:color="auto" w:fill="FFFFFF"/>
            <w:vAlign w:val="center"/>
          </w:tcPr>
          <w:p w14:paraId="3DC15769" w14:textId="6568A9A7" w:rsidR="00AF5450" w:rsidRPr="00AF5450" w:rsidRDefault="00AF5450" w:rsidP="00AF5450">
            <w:pPr>
              <w:jc w:val="center"/>
              <w:rPr>
                <w:rFonts w:ascii="Arial" w:hAnsi="Arial" w:cs="Arial"/>
                <w:sz w:val="18"/>
                <w:szCs w:val="18"/>
              </w:rPr>
            </w:pPr>
            <w:r w:rsidRPr="00AF5450">
              <w:rPr>
                <w:rFonts w:ascii="Arial" w:hAnsi="Arial" w:cs="Arial"/>
                <w:sz w:val="18"/>
                <w:szCs w:val="18"/>
              </w:rPr>
              <w:t>-</w:t>
            </w:r>
          </w:p>
        </w:tc>
        <w:tc>
          <w:tcPr>
            <w:tcW w:w="907" w:type="dxa"/>
            <w:tcBorders>
              <w:top w:val="single" w:sz="4" w:space="0" w:color="C0C0C0"/>
              <w:left w:val="single" w:sz="4" w:space="0" w:color="000000"/>
              <w:bottom w:val="single" w:sz="4" w:space="0" w:color="C0C0C0"/>
              <w:right w:val="single" w:sz="4" w:space="0" w:color="000000"/>
            </w:tcBorders>
            <w:shd w:val="clear" w:color="auto" w:fill="FFFFFF"/>
            <w:vAlign w:val="center"/>
          </w:tcPr>
          <w:p w14:paraId="536DBFBB" w14:textId="592289E7" w:rsidR="00AF5450" w:rsidRPr="00AF5450" w:rsidRDefault="00AF5450" w:rsidP="00AF5450">
            <w:pPr>
              <w:jc w:val="center"/>
              <w:rPr>
                <w:rFonts w:ascii="Arial" w:hAnsi="Arial" w:cs="Arial"/>
                <w:sz w:val="18"/>
                <w:szCs w:val="18"/>
              </w:rPr>
            </w:pPr>
            <w:r w:rsidRPr="00AF5450">
              <w:rPr>
                <w:rFonts w:ascii="Arial" w:hAnsi="Arial" w:cs="Arial"/>
                <w:sz w:val="18"/>
                <w:szCs w:val="18"/>
              </w:rPr>
              <w:t>-</w:t>
            </w:r>
          </w:p>
        </w:tc>
        <w:tc>
          <w:tcPr>
            <w:tcW w:w="907" w:type="dxa"/>
            <w:tcBorders>
              <w:top w:val="single" w:sz="4" w:space="0" w:color="C0C0C0"/>
              <w:left w:val="single" w:sz="4" w:space="0" w:color="000000"/>
              <w:bottom w:val="single" w:sz="4" w:space="0" w:color="C0C0C0"/>
              <w:right w:val="single" w:sz="4" w:space="0" w:color="000000"/>
            </w:tcBorders>
            <w:shd w:val="clear" w:color="auto" w:fill="FFFFFF"/>
            <w:vAlign w:val="center"/>
          </w:tcPr>
          <w:p w14:paraId="1259D6F5" w14:textId="3A1566BB" w:rsidR="00AF5450" w:rsidRPr="00AF5450" w:rsidRDefault="00AF5450" w:rsidP="00AF5450">
            <w:pPr>
              <w:jc w:val="center"/>
              <w:rPr>
                <w:rFonts w:ascii="Arial" w:hAnsi="Arial" w:cs="Arial"/>
                <w:sz w:val="18"/>
                <w:szCs w:val="18"/>
              </w:rPr>
            </w:pPr>
            <w:r w:rsidRPr="00AF5450">
              <w:rPr>
                <w:rFonts w:ascii="Arial" w:hAnsi="Arial" w:cs="Arial"/>
                <w:sz w:val="18"/>
                <w:szCs w:val="18"/>
              </w:rPr>
              <w:t>58</w:t>
            </w:r>
          </w:p>
        </w:tc>
        <w:tc>
          <w:tcPr>
            <w:tcW w:w="907" w:type="dxa"/>
            <w:tcBorders>
              <w:top w:val="single" w:sz="4" w:space="0" w:color="C0C0C0"/>
              <w:left w:val="single" w:sz="4" w:space="0" w:color="000000"/>
              <w:bottom w:val="single" w:sz="4" w:space="0" w:color="C0C0C0"/>
              <w:right w:val="single" w:sz="4" w:space="0" w:color="000000"/>
            </w:tcBorders>
            <w:shd w:val="clear" w:color="auto" w:fill="FFFFFF"/>
            <w:vAlign w:val="center"/>
          </w:tcPr>
          <w:p w14:paraId="39EDCA7B" w14:textId="4A87BA2A" w:rsidR="00AF5450" w:rsidRPr="00AF5450" w:rsidRDefault="00AF5450" w:rsidP="00AF5450">
            <w:pPr>
              <w:jc w:val="center"/>
              <w:rPr>
                <w:rFonts w:ascii="Arial" w:hAnsi="Arial" w:cs="Arial"/>
                <w:sz w:val="18"/>
                <w:szCs w:val="18"/>
              </w:rPr>
            </w:pPr>
            <w:r w:rsidRPr="00AF5450">
              <w:rPr>
                <w:rFonts w:ascii="Arial" w:hAnsi="Arial" w:cs="Arial"/>
                <w:sz w:val="18"/>
                <w:szCs w:val="18"/>
              </w:rPr>
              <w:t>60</w:t>
            </w:r>
          </w:p>
        </w:tc>
        <w:tc>
          <w:tcPr>
            <w:tcW w:w="907" w:type="dxa"/>
            <w:tcBorders>
              <w:top w:val="single" w:sz="4" w:space="0" w:color="C0C0C0"/>
              <w:left w:val="single" w:sz="4" w:space="0" w:color="000000"/>
              <w:bottom w:val="single" w:sz="4" w:space="0" w:color="C0C0C0"/>
              <w:right w:val="single" w:sz="4" w:space="0" w:color="000000"/>
            </w:tcBorders>
            <w:shd w:val="clear" w:color="auto" w:fill="FFFFFF"/>
            <w:vAlign w:val="center"/>
          </w:tcPr>
          <w:p w14:paraId="5B037CD7" w14:textId="181764EF" w:rsidR="00AF5450" w:rsidRPr="00AF5450" w:rsidRDefault="00AF5450" w:rsidP="00AF5450">
            <w:pPr>
              <w:jc w:val="center"/>
              <w:rPr>
                <w:rFonts w:ascii="Arial" w:hAnsi="Arial" w:cs="Arial"/>
                <w:sz w:val="18"/>
                <w:szCs w:val="18"/>
              </w:rPr>
            </w:pPr>
            <w:r w:rsidRPr="00AF5450">
              <w:rPr>
                <w:rFonts w:ascii="Arial" w:hAnsi="Arial" w:cs="Arial"/>
                <w:sz w:val="18"/>
                <w:szCs w:val="18"/>
              </w:rPr>
              <w:t>-</w:t>
            </w:r>
          </w:p>
        </w:tc>
        <w:tc>
          <w:tcPr>
            <w:tcW w:w="907" w:type="dxa"/>
            <w:tcBorders>
              <w:top w:val="single" w:sz="4" w:space="0" w:color="C0C0C0"/>
              <w:left w:val="single" w:sz="4" w:space="0" w:color="000000"/>
              <w:bottom w:val="single" w:sz="4" w:space="0" w:color="C0C0C0"/>
              <w:right w:val="single" w:sz="4" w:space="0" w:color="auto"/>
            </w:tcBorders>
            <w:shd w:val="clear" w:color="auto" w:fill="FFFFFF"/>
            <w:vAlign w:val="center"/>
          </w:tcPr>
          <w:p w14:paraId="39D70223" w14:textId="6D837E9E" w:rsidR="00AF5450" w:rsidRPr="00AF5450" w:rsidRDefault="00AF5450" w:rsidP="00AF5450">
            <w:pPr>
              <w:jc w:val="center"/>
              <w:rPr>
                <w:rFonts w:ascii="Arial" w:hAnsi="Arial" w:cs="Arial"/>
                <w:sz w:val="18"/>
                <w:szCs w:val="18"/>
              </w:rPr>
            </w:pPr>
            <w:r w:rsidRPr="00AF5450">
              <w:rPr>
                <w:rFonts w:ascii="Arial" w:hAnsi="Arial" w:cs="Arial"/>
                <w:sz w:val="18"/>
                <w:szCs w:val="18"/>
              </w:rPr>
              <w:t>-</w:t>
            </w:r>
          </w:p>
        </w:tc>
      </w:tr>
      <w:tr w:rsidR="00AF5450" w:rsidRPr="00CA3984" w14:paraId="20F6C3F5" w14:textId="77777777" w:rsidTr="00542ABB">
        <w:trPr>
          <w:cantSplit/>
          <w:trHeight w:val="227"/>
          <w:jc w:val="center"/>
        </w:trPr>
        <w:tc>
          <w:tcPr>
            <w:tcW w:w="568" w:type="dxa"/>
            <w:vMerge/>
            <w:tcBorders>
              <w:left w:val="single" w:sz="4" w:space="0" w:color="auto"/>
              <w:bottom w:val="single" w:sz="4" w:space="0" w:color="auto"/>
              <w:right w:val="single" w:sz="4" w:space="0" w:color="000000"/>
            </w:tcBorders>
            <w:shd w:val="clear" w:color="auto" w:fill="FFFFFF"/>
          </w:tcPr>
          <w:p w14:paraId="1F6E186E" w14:textId="77777777" w:rsidR="00AF5450" w:rsidRDefault="00AF5450" w:rsidP="00AF5450">
            <w:pPr>
              <w:jc w:val="center"/>
              <w:rPr>
                <w:rFonts w:ascii="Arial" w:hAnsi="Arial" w:cs="Arial"/>
                <w:sz w:val="18"/>
                <w:szCs w:val="18"/>
              </w:rPr>
            </w:pPr>
          </w:p>
        </w:tc>
        <w:tc>
          <w:tcPr>
            <w:tcW w:w="3249" w:type="dxa"/>
            <w:tcBorders>
              <w:top w:val="single" w:sz="4" w:space="0" w:color="C0C0C0"/>
              <w:left w:val="single" w:sz="4" w:space="0" w:color="auto"/>
              <w:bottom w:val="single" w:sz="4" w:space="0" w:color="auto"/>
              <w:right w:val="single" w:sz="4" w:space="0" w:color="000000"/>
            </w:tcBorders>
            <w:shd w:val="clear" w:color="auto" w:fill="538135" w:themeFill="accent6" w:themeFillShade="BF"/>
            <w:vAlign w:val="center"/>
          </w:tcPr>
          <w:p w14:paraId="19FBB7B5" w14:textId="7BB9BBFF" w:rsidR="00AF5450" w:rsidRPr="00AF5450" w:rsidRDefault="00AF5450" w:rsidP="00AF5450">
            <w:pPr>
              <w:jc w:val="center"/>
              <w:rPr>
                <w:rFonts w:ascii="Arial" w:hAnsi="Arial" w:cs="Arial"/>
                <w:sz w:val="18"/>
                <w:szCs w:val="18"/>
              </w:rPr>
            </w:pPr>
            <w:r w:rsidRPr="00AF5450">
              <w:rPr>
                <w:rFonts w:ascii="Arial" w:hAnsi="Arial" w:cs="Arial"/>
                <w:sz w:val="18"/>
                <w:szCs w:val="18"/>
              </w:rPr>
              <w:t>Itabirito carbonático compacto (</w:t>
            </w:r>
            <w:r w:rsidRPr="00542ABB">
              <w:rPr>
                <w:rFonts w:ascii="Arial" w:hAnsi="Arial" w:cs="Arial"/>
                <w:b/>
                <w:sz w:val="18"/>
                <w:szCs w:val="18"/>
              </w:rPr>
              <w:t>ICC</w:t>
            </w:r>
            <w:r w:rsidRPr="00AF5450">
              <w:rPr>
                <w:rFonts w:ascii="Arial" w:hAnsi="Arial" w:cs="Arial"/>
                <w:sz w:val="18"/>
                <w:szCs w:val="18"/>
              </w:rPr>
              <w:t>)</w:t>
            </w:r>
          </w:p>
        </w:tc>
        <w:tc>
          <w:tcPr>
            <w:tcW w:w="907" w:type="dxa"/>
            <w:tcBorders>
              <w:top w:val="single" w:sz="4" w:space="0" w:color="C0C0C0"/>
              <w:left w:val="single" w:sz="4" w:space="0" w:color="000000"/>
              <w:bottom w:val="single" w:sz="4" w:space="0" w:color="auto"/>
              <w:right w:val="single" w:sz="4" w:space="0" w:color="000000"/>
            </w:tcBorders>
            <w:shd w:val="clear" w:color="auto" w:fill="FFFFFF"/>
            <w:vAlign w:val="center"/>
          </w:tcPr>
          <w:p w14:paraId="2B48F4D1" w14:textId="0E2A2E08" w:rsidR="00AF5450" w:rsidRPr="00AF5450" w:rsidRDefault="00AF5450" w:rsidP="00AF5450">
            <w:pPr>
              <w:jc w:val="center"/>
              <w:rPr>
                <w:rFonts w:ascii="Arial" w:hAnsi="Arial" w:cs="Arial"/>
                <w:sz w:val="18"/>
                <w:szCs w:val="18"/>
              </w:rPr>
            </w:pPr>
            <w:r w:rsidRPr="00AF5450">
              <w:rPr>
                <w:rFonts w:ascii="Arial" w:hAnsi="Arial" w:cs="Arial"/>
                <w:sz w:val="18"/>
                <w:szCs w:val="18"/>
              </w:rPr>
              <w:t>-</w:t>
            </w:r>
          </w:p>
        </w:tc>
        <w:tc>
          <w:tcPr>
            <w:tcW w:w="907" w:type="dxa"/>
            <w:tcBorders>
              <w:top w:val="single" w:sz="4" w:space="0" w:color="C0C0C0"/>
              <w:left w:val="single" w:sz="4" w:space="0" w:color="000000"/>
              <w:bottom w:val="single" w:sz="4" w:space="0" w:color="auto"/>
              <w:right w:val="single" w:sz="4" w:space="0" w:color="000000"/>
            </w:tcBorders>
            <w:shd w:val="clear" w:color="auto" w:fill="FFFFFF"/>
            <w:vAlign w:val="center"/>
          </w:tcPr>
          <w:p w14:paraId="6C374D0E" w14:textId="3EC8FB53" w:rsidR="00AF5450" w:rsidRPr="00AF5450" w:rsidRDefault="00AF5450" w:rsidP="00AF5450">
            <w:pPr>
              <w:jc w:val="center"/>
              <w:rPr>
                <w:rFonts w:ascii="Arial" w:hAnsi="Arial" w:cs="Arial"/>
                <w:sz w:val="18"/>
                <w:szCs w:val="18"/>
              </w:rPr>
            </w:pPr>
            <w:r w:rsidRPr="00AF5450">
              <w:rPr>
                <w:rFonts w:ascii="Arial" w:hAnsi="Arial" w:cs="Arial"/>
                <w:sz w:val="18"/>
                <w:szCs w:val="18"/>
              </w:rPr>
              <w:t>-</w:t>
            </w:r>
          </w:p>
        </w:tc>
        <w:tc>
          <w:tcPr>
            <w:tcW w:w="907" w:type="dxa"/>
            <w:tcBorders>
              <w:top w:val="single" w:sz="4" w:space="0" w:color="C0C0C0"/>
              <w:left w:val="single" w:sz="4" w:space="0" w:color="000000"/>
              <w:bottom w:val="single" w:sz="4" w:space="0" w:color="auto"/>
              <w:right w:val="single" w:sz="4" w:space="0" w:color="000000"/>
            </w:tcBorders>
            <w:shd w:val="clear" w:color="auto" w:fill="FFFFFF"/>
            <w:vAlign w:val="center"/>
          </w:tcPr>
          <w:p w14:paraId="69582C2E" w14:textId="6E59B683" w:rsidR="00AF5450" w:rsidRPr="00AF5450" w:rsidRDefault="00AF5450" w:rsidP="00AF5450">
            <w:pPr>
              <w:jc w:val="center"/>
              <w:rPr>
                <w:rFonts w:ascii="Arial" w:hAnsi="Arial" w:cs="Arial"/>
                <w:sz w:val="18"/>
                <w:szCs w:val="18"/>
              </w:rPr>
            </w:pPr>
            <w:r w:rsidRPr="00AF5450">
              <w:rPr>
                <w:rFonts w:ascii="Arial" w:hAnsi="Arial" w:cs="Arial"/>
                <w:sz w:val="18"/>
                <w:szCs w:val="18"/>
              </w:rPr>
              <w:t>-</w:t>
            </w:r>
          </w:p>
        </w:tc>
        <w:tc>
          <w:tcPr>
            <w:tcW w:w="907" w:type="dxa"/>
            <w:tcBorders>
              <w:top w:val="single" w:sz="4" w:space="0" w:color="C0C0C0"/>
              <w:left w:val="single" w:sz="4" w:space="0" w:color="000000"/>
              <w:bottom w:val="single" w:sz="4" w:space="0" w:color="auto"/>
              <w:right w:val="single" w:sz="4" w:space="0" w:color="000000"/>
            </w:tcBorders>
            <w:shd w:val="clear" w:color="auto" w:fill="FFFFFF"/>
            <w:vAlign w:val="center"/>
          </w:tcPr>
          <w:p w14:paraId="052C82E3" w14:textId="2222A712" w:rsidR="00AF5450" w:rsidRPr="00AF5450" w:rsidRDefault="00AF5450" w:rsidP="00AF5450">
            <w:pPr>
              <w:jc w:val="center"/>
              <w:rPr>
                <w:rFonts w:ascii="Arial" w:hAnsi="Arial" w:cs="Arial"/>
                <w:sz w:val="18"/>
                <w:szCs w:val="18"/>
              </w:rPr>
            </w:pPr>
            <w:r w:rsidRPr="00AF5450">
              <w:rPr>
                <w:rFonts w:ascii="Arial" w:hAnsi="Arial" w:cs="Arial"/>
                <w:sz w:val="18"/>
                <w:szCs w:val="18"/>
              </w:rPr>
              <w:t>42</w:t>
            </w:r>
          </w:p>
        </w:tc>
        <w:tc>
          <w:tcPr>
            <w:tcW w:w="907" w:type="dxa"/>
            <w:tcBorders>
              <w:top w:val="single" w:sz="4" w:space="0" w:color="C0C0C0"/>
              <w:left w:val="single" w:sz="4" w:space="0" w:color="000000"/>
              <w:bottom w:val="single" w:sz="4" w:space="0" w:color="auto"/>
              <w:right w:val="single" w:sz="4" w:space="0" w:color="000000"/>
            </w:tcBorders>
            <w:shd w:val="clear" w:color="auto" w:fill="FFFFFF"/>
            <w:vAlign w:val="center"/>
          </w:tcPr>
          <w:p w14:paraId="52BE4D8D" w14:textId="1BD9DBED" w:rsidR="00AF5450" w:rsidRPr="00AF5450" w:rsidRDefault="00AF5450" w:rsidP="00AF5450">
            <w:pPr>
              <w:jc w:val="center"/>
              <w:rPr>
                <w:rFonts w:ascii="Arial" w:hAnsi="Arial" w:cs="Arial"/>
                <w:sz w:val="18"/>
                <w:szCs w:val="18"/>
              </w:rPr>
            </w:pPr>
            <w:r w:rsidRPr="00AF5450">
              <w:rPr>
                <w:rFonts w:ascii="Arial" w:hAnsi="Arial" w:cs="Arial"/>
                <w:sz w:val="18"/>
                <w:szCs w:val="18"/>
              </w:rPr>
              <w:t>-</w:t>
            </w:r>
          </w:p>
        </w:tc>
        <w:tc>
          <w:tcPr>
            <w:tcW w:w="907" w:type="dxa"/>
            <w:tcBorders>
              <w:top w:val="single" w:sz="4" w:space="0" w:color="C0C0C0"/>
              <w:left w:val="single" w:sz="4" w:space="0" w:color="000000"/>
              <w:bottom w:val="single" w:sz="4" w:space="0" w:color="auto"/>
              <w:right w:val="single" w:sz="4" w:space="0" w:color="000000"/>
            </w:tcBorders>
            <w:shd w:val="clear" w:color="auto" w:fill="FFFFFF"/>
            <w:vAlign w:val="center"/>
          </w:tcPr>
          <w:p w14:paraId="6D204222" w14:textId="20FEB387" w:rsidR="00AF5450" w:rsidRPr="00AF5450" w:rsidRDefault="00AF5450" w:rsidP="00AF5450">
            <w:pPr>
              <w:jc w:val="center"/>
              <w:rPr>
                <w:rFonts w:ascii="Arial" w:hAnsi="Arial" w:cs="Arial"/>
                <w:sz w:val="18"/>
                <w:szCs w:val="18"/>
              </w:rPr>
            </w:pPr>
            <w:r w:rsidRPr="00AF5450">
              <w:rPr>
                <w:rFonts w:ascii="Arial" w:hAnsi="Arial" w:cs="Arial"/>
                <w:sz w:val="18"/>
                <w:szCs w:val="18"/>
              </w:rPr>
              <w:t>-</w:t>
            </w:r>
          </w:p>
        </w:tc>
        <w:tc>
          <w:tcPr>
            <w:tcW w:w="907" w:type="dxa"/>
            <w:tcBorders>
              <w:top w:val="single" w:sz="4" w:space="0" w:color="C0C0C0"/>
              <w:left w:val="single" w:sz="4" w:space="0" w:color="000000"/>
              <w:bottom w:val="single" w:sz="4" w:space="0" w:color="auto"/>
              <w:right w:val="single" w:sz="4" w:space="0" w:color="auto"/>
            </w:tcBorders>
            <w:shd w:val="clear" w:color="auto" w:fill="FFFFFF"/>
            <w:vAlign w:val="center"/>
          </w:tcPr>
          <w:p w14:paraId="5CF0E7BA" w14:textId="6FE6510E" w:rsidR="00AF5450" w:rsidRPr="00AF5450" w:rsidRDefault="00AF5450" w:rsidP="00AF5450">
            <w:pPr>
              <w:jc w:val="center"/>
              <w:rPr>
                <w:rFonts w:ascii="Arial" w:hAnsi="Arial" w:cs="Arial"/>
                <w:sz w:val="18"/>
                <w:szCs w:val="18"/>
              </w:rPr>
            </w:pPr>
            <w:r w:rsidRPr="00AF5450">
              <w:rPr>
                <w:rFonts w:ascii="Arial" w:hAnsi="Arial" w:cs="Arial"/>
                <w:sz w:val="18"/>
                <w:szCs w:val="18"/>
              </w:rPr>
              <w:t>-</w:t>
            </w:r>
          </w:p>
        </w:tc>
      </w:tr>
    </w:tbl>
    <w:p w14:paraId="6576327B" w14:textId="77777777" w:rsidR="009A04B1" w:rsidRDefault="00E8653F">
      <w:pPr>
        <w:spacing w:line="480" w:lineRule="auto"/>
        <w:jc w:val="both"/>
        <w:rPr>
          <w:rFonts w:ascii="Arial" w:eastAsia="Arial" w:hAnsi="Arial" w:cs="Arial"/>
          <w:sz w:val="24"/>
          <w:szCs w:val="24"/>
        </w:rPr>
      </w:pPr>
      <w:r w:rsidRPr="00CA3984">
        <w:rPr>
          <w:rFonts w:ascii="Arial" w:eastAsia="Arial" w:hAnsi="Arial" w:cs="Arial"/>
          <w:sz w:val="24"/>
          <w:szCs w:val="24"/>
        </w:rPr>
        <w:tab/>
      </w:r>
    </w:p>
    <w:p w14:paraId="1FB7E577" w14:textId="4D62E410" w:rsidR="00E07BB3" w:rsidRPr="00CA3984" w:rsidRDefault="00E8653F" w:rsidP="00343007">
      <w:pPr>
        <w:spacing w:line="480" w:lineRule="auto"/>
        <w:ind w:firstLine="720"/>
        <w:jc w:val="both"/>
        <w:rPr>
          <w:rFonts w:ascii="Arial" w:hAnsi="Arial" w:cs="Arial"/>
          <w:sz w:val="24"/>
          <w:szCs w:val="24"/>
        </w:rPr>
      </w:pPr>
      <w:r w:rsidRPr="00CA3984">
        <w:rPr>
          <w:rFonts w:ascii="Arial" w:eastAsia="Arial" w:hAnsi="Arial" w:cs="Arial"/>
          <w:sz w:val="24"/>
          <w:szCs w:val="24"/>
        </w:rPr>
        <w:t>O poço 1 é composto de litologias variadas, com proporções similares entre litologias do tipo branda de hematita (29%), itabirito (30%) e itabirito argiloso (24%). É um poço com uma vazão específica alta (4</w:t>
      </w:r>
      <w:r w:rsidR="001B3DB2">
        <w:rPr>
          <w:rFonts w:ascii="Arial" w:eastAsia="Arial" w:hAnsi="Arial" w:cs="Arial"/>
          <w:sz w:val="24"/>
          <w:szCs w:val="24"/>
        </w:rPr>
        <w:t>,</w:t>
      </w:r>
      <w:r w:rsidRPr="00CA3984">
        <w:rPr>
          <w:rFonts w:ascii="Arial" w:eastAsia="Arial" w:hAnsi="Arial" w:cs="Arial"/>
          <w:sz w:val="24"/>
          <w:szCs w:val="24"/>
        </w:rPr>
        <w:t>91 m³/h.m), a maior dentre todos os estudados neste trabalho. O perfil gama natural mostra que a argilosidade fica em torno de 1500 API e diminui a partir de 185 m de profundidade</w:t>
      </w:r>
      <w:r w:rsidR="001B3DB2">
        <w:rPr>
          <w:rFonts w:ascii="Arial" w:eastAsia="Arial" w:hAnsi="Arial" w:cs="Arial"/>
          <w:sz w:val="24"/>
          <w:szCs w:val="24"/>
        </w:rPr>
        <w:t>,</w:t>
      </w:r>
      <w:r w:rsidRPr="00CA3984">
        <w:rPr>
          <w:rFonts w:ascii="Arial" w:eastAsia="Arial" w:hAnsi="Arial" w:cs="Arial"/>
          <w:sz w:val="24"/>
          <w:szCs w:val="24"/>
        </w:rPr>
        <w:t xml:space="preserve"> onde fica com uma média de 500 API</w:t>
      </w:r>
      <w:r w:rsidR="009B482D" w:rsidRPr="00CA3984">
        <w:rPr>
          <w:rFonts w:ascii="Arial" w:eastAsia="Arial" w:hAnsi="Arial" w:cs="Arial"/>
          <w:sz w:val="24"/>
          <w:szCs w:val="24"/>
        </w:rPr>
        <w:t xml:space="preserve"> (Figura 4)</w:t>
      </w:r>
      <w:r w:rsidRPr="00CA3984">
        <w:rPr>
          <w:rFonts w:ascii="Arial" w:eastAsia="Arial" w:hAnsi="Arial" w:cs="Arial"/>
          <w:sz w:val="24"/>
          <w:szCs w:val="24"/>
        </w:rPr>
        <w:t xml:space="preserve">. Já o </w:t>
      </w:r>
      <w:r w:rsidR="009B482D">
        <w:rPr>
          <w:rFonts w:ascii="Arial" w:eastAsia="Arial" w:hAnsi="Arial" w:cs="Arial"/>
          <w:sz w:val="24"/>
          <w:szCs w:val="24"/>
        </w:rPr>
        <w:t xml:space="preserve">perfil </w:t>
      </w:r>
      <w:r w:rsidRPr="00CA3984">
        <w:rPr>
          <w:rFonts w:ascii="Arial" w:eastAsia="Arial" w:hAnsi="Arial" w:cs="Arial"/>
          <w:sz w:val="24"/>
          <w:szCs w:val="24"/>
        </w:rPr>
        <w:t>sônico apresenta pequenas variações até a profundidade de 200</w:t>
      </w:r>
      <w:r w:rsidR="006F221A">
        <w:rPr>
          <w:rFonts w:ascii="Arial" w:eastAsia="Arial" w:hAnsi="Arial" w:cs="Arial"/>
          <w:sz w:val="24"/>
          <w:szCs w:val="24"/>
        </w:rPr>
        <w:t xml:space="preserve"> </w:t>
      </w:r>
      <w:r w:rsidRPr="00CA3984">
        <w:rPr>
          <w:rFonts w:ascii="Arial" w:eastAsia="Arial" w:hAnsi="Arial" w:cs="Arial"/>
          <w:sz w:val="24"/>
          <w:szCs w:val="24"/>
        </w:rPr>
        <w:t>m, a partir da qual começa a apresentar grandes variações (de 80 a 60 µs/ft), sugerindo um maior fraturamento nessa porção final do poço. Os picos estão entre 63-68 m, 170-174 m, 198-202 m, 210-215 m, 220-230 m e 260-298 m. A resistividade apresenta um comportamento relativamente uniforme (cerca de 300 e 600 ohm.m no</w:t>
      </w:r>
      <w:r w:rsidR="006F221A">
        <w:rPr>
          <w:rFonts w:ascii="Arial" w:eastAsia="Arial" w:hAnsi="Arial" w:cs="Arial"/>
          <w:sz w:val="24"/>
          <w:szCs w:val="24"/>
        </w:rPr>
        <w:t xml:space="preserve">s arranjos </w:t>
      </w:r>
      <w:r w:rsidR="001B3DB2">
        <w:rPr>
          <w:rFonts w:ascii="Arial" w:eastAsia="Arial" w:hAnsi="Arial" w:cs="Arial"/>
          <w:sz w:val="24"/>
          <w:szCs w:val="24"/>
        </w:rPr>
        <w:t>n</w:t>
      </w:r>
      <w:r w:rsidR="006F221A">
        <w:rPr>
          <w:rFonts w:ascii="Arial" w:eastAsia="Arial" w:hAnsi="Arial" w:cs="Arial"/>
          <w:sz w:val="24"/>
          <w:szCs w:val="24"/>
        </w:rPr>
        <w:t xml:space="preserve">ormal </w:t>
      </w:r>
      <w:r w:rsidR="001B3DB2">
        <w:rPr>
          <w:rFonts w:ascii="Arial" w:eastAsia="Arial" w:hAnsi="Arial" w:cs="Arial"/>
          <w:sz w:val="24"/>
          <w:szCs w:val="24"/>
        </w:rPr>
        <w:t>c</w:t>
      </w:r>
      <w:r w:rsidR="006F221A">
        <w:rPr>
          <w:rFonts w:ascii="Arial" w:eastAsia="Arial" w:hAnsi="Arial" w:cs="Arial"/>
          <w:sz w:val="24"/>
          <w:szCs w:val="24"/>
        </w:rPr>
        <w:t>urto (</w:t>
      </w:r>
      <w:r w:rsidR="00CC3062">
        <w:rPr>
          <w:rFonts w:ascii="Arial" w:eastAsia="Arial" w:hAnsi="Arial" w:cs="Arial"/>
          <w:sz w:val="24"/>
          <w:szCs w:val="24"/>
        </w:rPr>
        <w:t>NC</w:t>
      </w:r>
      <w:r w:rsidR="006F221A">
        <w:rPr>
          <w:rFonts w:ascii="Arial" w:eastAsia="Arial" w:hAnsi="Arial" w:cs="Arial"/>
          <w:sz w:val="24"/>
          <w:szCs w:val="24"/>
        </w:rPr>
        <w:t xml:space="preserve">) e </w:t>
      </w:r>
      <w:r w:rsidR="001B3DB2">
        <w:rPr>
          <w:rFonts w:ascii="Arial" w:eastAsia="Arial" w:hAnsi="Arial" w:cs="Arial"/>
          <w:sz w:val="24"/>
          <w:szCs w:val="24"/>
        </w:rPr>
        <w:t>n</w:t>
      </w:r>
      <w:r w:rsidR="006F221A">
        <w:rPr>
          <w:rFonts w:ascii="Arial" w:eastAsia="Arial" w:hAnsi="Arial" w:cs="Arial"/>
          <w:sz w:val="24"/>
          <w:szCs w:val="24"/>
        </w:rPr>
        <w:t xml:space="preserve">ormal </w:t>
      </w:r>
      <w:r w:rsidR="001B3DB2">
        <w:rPr>
          <w:rFonts w:ascii="Arial" w:eastAsia="Arial" w:hAnsi="Arial" w:cs="Arial"/>
          <w:sz w:val="24"/>
          <w:szCs w:val="24"/>
        </w:rPr>
        <w:t>l</w:t>
      </w:r>
      <w:r w:rsidR="006F221A">
        <w:rPr>
          <w:rFonts w:ascii="Arial" w:eastAsia="Arial" w:hAnsi="Arial" w:cs="Arial"/>
          <w:sz w:val="24"/>
          <w:szCs w:val="24"/>
        </w:rPr>
        <w:t>ongo (</w:t>
      </w:r>
      <w:r w:rsidR="00CC3062">
        <w:rPr>
          <w:rFonts w:ascii="Arial" w:eastAsia="Arial" w:hAnsi="Arial" w:cs="Arial"/>
          <w:sz w:val="24"/>
          <w:szCs w:val="24"/>
        </w:rPr>
        <w:t>NL</w:t>
      </w:r>
      <w:r w:rsidR="006F221A">
        <w:rPr>
          <w:rFonts w:ascii="Arial" w:eastAsia="Arial" w:hAnsi="Arial" w:cs="Arial"/>
          <w:sz w:val="24"/>
          <w:szCs w:val="24"/>
        </w:rPr>
        <w:t>)</w:t>
      </w:r>
      <w:r w:rsidRPr="00CA3984">
        <w:rPr>
          <w:rFonts w:ascii="Arial" w:eastAsia="Arial" w:hAnsi="Arial" w:cs="Arial"/>
          <w:sz w:val="24"/>
          <w:szCs w:val="24"/>
        </w:rPr>
        <w:t xml:space="preserve">, respectivamente) e com alguns </w:t>
      </w:r>
      <w:r w:rsidR="006F221A">
        <w:rPr>
          <w:rFonts w:ascii="Arial" w:eastAsia="Arial" w:hAnsi="Arial" w:cs="Arial"/>
          <w:sz w:val="24"/>
          <w:szCs w:val="24"/>
        </w:rPr>
        <w:t>máximos</w:t>
      </w:r>
      <w:r w:rsidR="006F221A" w:rsidRPr="00CA3984">
        <w:rPr>
          <w:rFonts w:ascii="Arial" w:eastAsia="Arial" w:hAnsi="Arial" w:cs="Arial"/>
          <w:sz w:val="24"/>
          <w:szCs w:val="24"/>
        </w:rPr>
        <w:t xml:space="preserve"> </w:t>
      </w:r>
      <w:r w:rsidRPr="00CA3984">
        <w:rPr>
          <w:rFonts w:ascii="Arial" w:eastAsia="Arial" w:hAnsi="Arial" w:cs="Arial"/>
          <w:sz w:val="24"/>
          <w:szCs w:val="24"/>
        </w:rPr>
        <w:t xml:space="preserve">localizados </w:t>
      </w:r>
      <w:r w:rsidR="006F221A">
        <w:rPr>
          <w:rFonts w:ascii="Arial" w:eastAsia="Arial" w:hAnsi="Arial" w:cs="Arial"/>
          <w:sz w:val="24"/>
          <w:szCs w:val="24"/>
        </w:rPr>
        <w:t xml:space="preserve">entre 50 m e 70-75 m </w:t>
      </w:r>
      <w:r w:rsidRPr="00CA3984">
        <w:rPr>
          <w:rFonts w:ascii="Arial" w:eastAsia="Arial" w:hAnsi="Arial" w:cs="Arial"/>
          <w:sz w:val="24"/>
          <w:szCs w:val="24"/>
        </w:rPr>
        <w:t>e um aumento a partir de 195 m. Esse poço não apresenta dados de SP. A elevada vazão específica desse poço deve-se, provavelmente, à porosidade e áreas de fraturamento, representados pela zona de baixa resistividade e alt</w:t>
      </w:r>
      <w:r w:rsidR="006F221A">
        <w:rPr>
          <w:rFonts w:ascii="Arial" w:eastAsia="Arial" w:hAnsi="Arial" w:cs="Arial"/>
          <w:sz w:val="24"/>
          <w:szCs w:val="24"/>
        </w:rPr>
        <w:t>a</w:t>
      </w:r>
      <w:r w:rsidRPr="00CA3984">
        <w:rPr>
          <w:rFonts w:ascii="Arial" w:eastAsia="Arial" w:hAnsi="Arial" w:cs="Arial"/>
          <w:sz w:val="24"/>
          <w:szCs w:val="24"/>
        </w:rPr>
        <w:t xml:space="preserve"> </w:t>
      </w:r>
      <w:r w:rsidR="006F221A">
        <w:rPr>
          <w:rFonts w:ascii="Arial" w:eastAsia="Arial" w:hAnsi="Arial" w:cs="Arial"/>
          <w:sz w:val="24"/>
          <w:szCs w:val="24"/>
        </w:rPr>
        <w:t>vagarosidade</w:t>
      </w:r>
      <w:r w:rsidRPr="00CA3984">
        <w:rPr>
          <w:rFonts w:ascii="Arial" w:eastAsia="Arial" w:hAnsi="Arial" w:cs="Arial"/>
          <w:sz w:val="24"/>
          <w:szCs w:val="24"/>
        </w:rPr>
        <w:t xml:space="preserve"> no intervalo de hematita branda e pela porção final do poço, onde são observados baixa argilosidade e </w:t>
      </w:r>
      <w:r w:rsidR="006F221A">
        <w:rPr>
          <w:rFonts w:ascii="Arial" w:eastAsia="Arial" w:hAnsi="Arial" w:cs="Arial"/>
          <w:sz w:val="24"/>
          <w:szCs w:val="24"/>
        </w:rPr>
        <w:t>máxima vagarosidade</w:t>
      </w:r>
      <w:r w:rsidRPr="00CA3984">
        <w:rPr>
          <w:rFonts w:ascii="Arial" w:eastAsia="Arial" w:hAnsi="Arial" w:cs="Arial"/>
          <w:sz w:val="24"/>
          <w:szCs w:val="24"/>
        </w:rPr>
        <w:t xml:space="preserve"> (Figura 4). </w:t>
      </w:r>
    </w:p>
    <w:p w14:paraId="6CEAB6DB" w14:textId="6167BBBD" w:rsidR="00E07BB3" w:rsidRPr="00CA3984" w:rsidRDefault="00E07BB3" w:rsidP="00CA3984">
      <w:pPr>
        <w:jc w:val="center"/>
        <w:rPr>
          <w:rFonts w:ascii="Arial" w:hAnsi="Arial" w:cs="Arial"/>
          <w:szCs w:val="24"/>
        </w:rPr>
      </w:pPr>
    </w:p>
    <w:p w14:paraId="77D875C9" w14:textId="4A701816" w:rsidR="00831388" w:rsidRDefault="00705E12" w:rsidP="00D41945">
      <w:pPr>
        <w:rPr>
          <w:rFonts w:ascii="Arial" w:hAnsi="Arial" w:cs="Arial"/>
          <w:b/>
          <w:szCs w:val="24"/>
        </w:rPr>
      </w:pPr>
      <w:r>
        <w:rPr>
          <w:rFonts w:ascii="Arial" w:hAnsi="Arial" w:cs="Arial"/>
          <w:b/>
          <w:noProof/>
          <w:szCs w:val="24"/>
        </w:rPr>
        <w:lastRenderedPageBreak/>
        <w:drawing>
          <wp:inline distT="0" distB="0" distL="0" distR="0" wp14:anchorId="4958CF85" wp14:editId="08EC8605">
            <wp:extent cx="5180400" cy="4042800"/>
            <wp:effectExtent l="0" t="0" r="127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a 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80400" cy="4042800"/>
                    </a:xfrm>
                    <a:prstGeom prst="rect">
                      <a:avLst/>
                    </a:prstGeom>
                  </pic:spPr>
                </pic:pic>
              </a:graphicData>
            </a:graphic>
          </wp:inline>
        </w:drawing>
      </w:r>
    </w:p>
    <w:p w14:paraId="5CB2655B" w14:textId="77777777" w:rsidR="00831388" w:rsidRDefault="00831388" w:rsidP="00D41945">
      <w:pPr>
        <w:rPr>
          <w:rFonts w:ascii="Arial" w:hAnsi="Arial" w:cs="Arial"/>
          <w:b/>
          <w:szCs w:val="24"/>
        </w:rPr>
      </w:pPr>
    </w:p>
    <w:p w14:paraId="0375EB58" w14:textId="1FB42313" w:rsidR="00E07BB3" w:rsidRPr="00CA3984" w:rsidRDefault="00E8653F" w:rsidP="00D41945">
      <w:pPr>
        <w:rPr>
          <w:rFonts w:ascii="Arial" w:hAnsi="Arial" w:cs="Arial"/>
          <w:szCs w:val="24"/>
        </w:rPr>
      </w:pPr>
      <w:r w:rsidRPr="008F7229">
        <w:rPr>
          <w:rFonts w:ascii="Arial" w:hAnsi="Arial" w:cs="Arial"/>
          <w:b/>
          <w:szCs w:val="24"/>
        </w:rPr>
        <w:t>Figura 4</w:t>
      </w:r>
      <w:r w:rsidRPr="00CA3984">
        <w:rPr>
          <w:rFonts w:ascii="Arial" w:hAnsi="Arial" w:cs="Arial"/>
          <w:szCs w:val="24"/>
        </w:rPr>
        <w:t xml:space="preserve"> </w:t>
      </w:r>
      <w:r w:rsidR="003E5EE1">
        <w:rPr>
          <w:rFonts w:ascii="Arial" w:hAnsi="Arial" w:cs="Arial"/>
          <w:szCs w:val="24"/>
        </w:rPr>
        <w:t>–</w:t>
      </w:r>
      <w:r w:rsidRPr="00CA3984">
        <w:rPr>
          <w:rFonts w:ascii="Arial" w:hAnsi="Arial" w:cs="Arial"/>
          <w:szCs w:val="24"/>
        </w:rPr>
        <w:t xml:space="preserve"> </w:t>
      </w:r>
      <w:r w:rsidR="006F221A">
        <w:rPr>
          <w:rFonts w:ascii="Arial" w:hAnsi="Arial" w:cs="Arial"/>
          <w:szCs w:val="24"/>
        </w:rPr>
        <w:t>P</w:t>
      </w:r>
      <w:r w:rsidRPr="00CA3984">
        <w:rPr>
          <w:rFonts w:ascii="Arial" w:hAnsi="Arial" w:cs="Arial"/>
          <w:szCs w:val="24"/>
        </w:rPr>
        <w:t xml:space="preserve">erfil geofísico do </w:t>
      </w:r>
      <w:r w:rsidR="001B3DB2">
        <w:rPr>
          <w:rFonts w:ascii="Arial" w:hAnsi="Arial" w:cs="Arial"/>
          <w:szCs w:val="24"/>
        </w:rPr>
        <w:t>p</w:t>
      </w:r>
      <w:r w:rsidRPr="00CA3984">
        <w:rPr>
          <w:rFonts w:ascii="Arial" w:hAnsi="Arial" w:cs="Arial"/>
          <w:szCs w:val="24"/>
        </w:rPr>
        <w:t xml:space="preserve">oço 1, mostrando os intervalos mais propícios para </w:t>
      </w:r>
      <w:r w:rsidR="006F221A">
        <w:rPr>
          <w:rFonts w:ascii="Arial" w:hAnsi="Arial" w:cs="Arial"/>
          <w:szCs w:val="24"/>
        </w:rPr>
        <w:t xml:space="preserve">captação de </w:t>
      </w:r>
      <w:r w:rsidRPr="00CA3984">
        <w:rPr>
          <w:rFonts w:ascii="Arial" w:hAnsi="Arial" w:cs="Arial"/>
          <w:szCs w:val="24"/>
        </w:rPr>
        <w:t>água.</w:t>
      </w:r>
    </w:p>
    <w:p w14:paraId="5DD24524" w14:textId="33DA16C2" w:rsidR="00E07BB3" w:rsidRPr="00CA3984" w:rsidRDefault="00E8653F" w:rsidP="00D41945">
      <w:pPr>
        <w:rPr>
          <w:rFonts w:ascii="Arial" w:eastAsia="Arial" w:hAnsi="Arial" w:cs="Arial"/>
          <w:szCs w:val="24"/>
          <w:lang w:val="en-US"/>
        </w:rPr>
      </w:pPr>
      <w:r w:rsidRPr="008F7229">
        <w:rPr>
          <w:rFonts w:ascii="Arial" w:hAnsi="Arial" w:cs="Arial"/>
          <w:b/>
          <w:szCs w:val="24"/>
          <w:lang w:val="en-US"/>
        </w:rPr>
        <w:t>Figure 4</w:t>
      </w:r>
      <w:r w:rsidRPr="00CA3984">
        <w:rPr>
          <w:rFonts w:ascii="Arial" w:hAnsi="Arial" w:cs="Arial"/>
          <w:szCs w:val="24"/>
          <w:lang w:val="en-US"/>
        </w:rPr>
        <w:t xml:space="preserve"> – Well logging of the well 1, showing the best water interval</w:t>
      </w:r>
      <w:r w:rsidR="006F221A">
        <w:rPr>
          <w:rFonts w:ascii="Arial" w:hAnsi="Arial" w:cs="Arial"/>
          <w:szCs w:val="24"/>
          <w:lang w:val="en-US"/>
        </w:rPr>
        <w:t>s</w:t>
      </w:r>
      <w:r w:rsidRPr="00CA3984">
        <w:rPr>
          <w:rFonts w:ascii="Arial" w:hAnsi="Arial" w:cs="Arial"/>
          <w:szCs w:val="24"/>
          <w:lang w:val="en-US"/>
        </w:rPr>
        <w:t>.</w:t>
      </w:r>
    </w:p>
    <w:p w14:paraId="66B35C6E" w14:textId="17761271" w:rsidR="00E07BB3" w:rsidRDefault="00E07BB3" w:rsidP="00D41945">
      <w:pPr>
        <w:rPr>
          <w:rFonts w:ascii="Arial" w:eastAsia="Arial" w:hAnsi="Arial" w:cs="Arial"/>
          <w:sz w:val="24"/>
          <w:szCs w:val="24"/>
          <w:lang w:val="en-US"/>
        </w:rPr>
      </w:pPr>
    </w:p>
    <w:p w14:paraId="27AE44CE" w14:textId="77777777" w:rsidR="00D20170" w:rsidRPr="00CA3984" w:rsidRDefault="00D20170" w:rsidP="00D41945">
      <w:pPr>
        <w:rPr>
          <w:rFonts w:ascii="Arial" w:eastAsia="Arial" w:hAnsi="Arial" w:cs="Arial"/>
          <w:sz w:val="24"/>
          <w:szCs w:val="24"/>
          <w:lang w:val="en-US"/>
        </w:rPr>
      </w:pPr>
    </w:p>
    <w:p w14:paraId="09EDC673" w14:textId="38A5E2D5" w:rsidR="00E07BB3" w:rsidRPr="00CA3984" w:rsidRDefault="00E8653F">
      <w:pPr>
        <w:spacing w:line="480" w:lineRule="auto"/>
        <w:ind w:firstLine="708"/>
        <w:jc w:val="both"/>
        <w:rPr>
          <w:rFonts w:ascii="Arial" w:hAnsi="Arial" w:cs="Arial"/>
          <w:sz w:val="24"/>
          <w:szCs w:val="24"/>
        </w:rPr>
      </w:pPr>
      <w:r w:rsidRPr="00CA3984">
        <w:rPr>
          <w:rFonts w:ascii="Arial" w:eastAsia="Arial" w:hAnsi="Arial" w:cs="Arial"/>
          <w:sz w:val="24"/>
          <w:szCs w:val="24"/>
        </w:rPr>
        <w:t>O poço 2 possui hematitas e itabiritos</w:t>
      </w:r>
      <w:r w:rsidR="006F221A">
        <w:rPr>
          <w:rFonts w:ascii="Arial" w:eastAsia="Arial" w:hAnsi="Arial" w:cs="Arial"/>
          <w:sz w:val="24"/>
          <w:szCs w:val="24"/>
        </w:rPr>
        <w:t>,</w:t>
      </w:r>
      <w:r w:rsidRPr="00CA3984">
        <w:rPr>
          <w:rFonts w:ascii="Arial" w:eastAsia="Arial" w:hAnsi="Arial" w:cs="Arial"/>
          <w:sz w:val="24"/>
          <w:szCs w:val="24"/>
        </w:rPr>
        <w:t xml:space="preserve"> onde predominam os do tipo brando (65% itabirito brando </w:t>
      </w:r>
      <w:r w:rsidR="006F221A">
        <w:rPr>
          <w:rFonts w:ascii="Arial" w:eastAsia="Arial" w:hAnsi="Arial" w:cs="Arial"/>
          <w:sz w:val="24"/>
          <w:szCs w:val="24"/>
        </w:rPr>
        <w:t xml:space="preserve">e </w:t>
      </w:r>
      <w:r w:rsidRPr="00CA3984">
        <w:rPr>
          <w:rFonts w:ascii="Arial" w:eastAsia="Arial" w:hAnsi="Arial" w:cs="Arial"/>
          <w:sz w:val="24"/>
          <w:szCs w:val="24"/>
        </w:rPr>
        <w:t>23% hematita branda). Sua vazão específica é 3</w:t>
      </w:r>
      <w:r w:rsidR="001B3DB2">
        <w:rPr>
          <w:rFonts w:ascii="Arial" w:eastAsia="Arial" w:hAnsi="Arial" w:cs="Arial"/>
          <w:sz w:val="24"/>
          <w:szCs w:val="24"/>
        </w:rPr>
        <w:t>,</w:t>
      </w:r>
      <w:r w:rsidRPr="00CA3984">
        <w:rPr>
          <w:rFonts w:ascii="Arial" w:eastAsia="Arial" w:hAnsi="Arial" w:cs="Arial"/>
          <w:sz w:val="24"/>
          <w:szCs w:val="24"/>
        </w:rPr>
        <w:t xml:space="preserve">07 m³/h.m, considerada boa para os padrões da região. No perfil de </w:t>
      </w:r>
      <w:r w:rsidR="006F221A">
        <w:rPr>
          <w:rFonts w:ascii="Arial" w:eastAsia="Arial" w:hAnsi="Arial" w:cs="Arial"/>
          <w:sz w:val="24"/>
          <w:szCs w:val="24"/>
        </w:rPr>
        <w:t xml:space="preserve">raios </w:t>
      </w:r>
      <w:r w:rsidRPr="00CA3984">
        <w:rPr>
          <w:rFonts w:ascii="Arial" w:eastAsia="Arial" w:hAnsi="Arial" w:cs="Arial"/>
          <w:sz w:val="24"/>
          <w:szCs w:val="24"/>
        </w:rPr>
        <w:t>gama</w:t>
      </w:r>
      <w:r w:rsidR="006F221A">
        <w:rPr>
          <w:rFonts w:ascii="Arial" w:eastAsia="Arial" w:hAnsi="Arial" w:cs="Arial"/>
          <w:sz w:val="24"/>
          <w:szCs w:val="24"/>
        </w:rPr>
        <w:t>,</w:t>
      </w:r>
      <w:r w:rsidRPr="00CA3984">
        <w:rPr>
          <w:rFonts w:ascii="Arial" w:eastAsia="Arial" w:hAnsi="Arial" w:cs="Arial"/>
          <w:sz w:val="24"/>
          <w:szCs w:val="24"/>
        </w:rPr>
        <w:t xml:space="preserve"> a argilosidade é grande (em torno de 1800 API)</w:t>
      </w:r>
      <w:r w:rsidR="006F221A">
        <w:rPr>
          <w:rFonts w:ascii="Arial" w:eastAsia="Arial" w:hAnsi="Arial" w:cs="Arial"/>
          <w:sz w:val="24"/>
          <w:szCs w:val="24"/>
        </w:rPr>
        <w:t>,</w:t>
      </w:r>
      <w:r w:rsidRPr="00CA3984">
        <w:rPr>
          <w:rFonts w:ascii="Arial" w:eastAsia="Arial" w:hAnsi="Arial" w:cs="Arial"/>
          <w:sz w:val="24"/>
          <w:szCs w:val="24"/>
        </w:rPr>
        <w:t xml:space="preserve"> com algumas oscilações até a profundidade de 182</w:t>
      </w:r>
      <w:r w:rsidR="006F221A">
        <w:rPr>
          <w:rFonts w:ascii="Arial" w:eastAsia="Arial" w:hAnsi="Arial" w:cs="Arial"/>
          <w:sz w:val="24"/>
          <w:szCs w:val="24"/>
        </w:rPr>
        <w:t xml:space="preserve"> </w:t>
      </w:r>
      <w:r w:rsidRPr="00CA3984">
        <w:rPr>
          <w:rFonts w:ascii="Arial" w:eastAsia="Arial" w:hAnsi="Arial" w:cs="Arial"/>
          <w:sz w:val="24"/>
          <w:szCs w:val="24"/>
        </w:rPr>
        <w:t>m, onde atinge valores mais baixos (700 API). Os valores d</w:t>
      </w:r>
      <w:r w:rsidR="006F221A">
        <w:rPr>
          <w:rFonts w:ascii="Arial" w:eastAsia="Arial" w:hAnsi="Arial" w:cs="Arial"/>
          <w:sz w:val="24"/>
          <w:szCs w:val="24"/>
        </w:rPr>
        <w:t>o perfil</w:t>
      </w:r>
      <w:r w:rsidRPr="00CA3984">
        <w:rPr>
          <w:rFonts w:ascii="Arial" w:eastAsia="Arial" w:hAnsi="Arial" w:cs="Arial"/>
          <w:sz w:val="24"/>
          <w:szCs w:val="24"/>
        </w:rPr>
        <w:t xml:space="preserve"> sônico apresentam um aumento notável entre 18-25 m (picos até 1800 µs/ft), no contato entre hematita branda e hematita compacta e depois se mantém praticamente constante (em torno de 140 µs/ft) até a profundidade de 110 m, a partir da qual começa a apresentar pequenas oscilações até o fim do poço.</w:t>
      </w:r>
      <w:r w:rsidR="00B421F1">
        <w:rPr>
          <w:rFonts w:ascii="Arial" w:eastAsia="Arial" w:hAnsi="Arial" w:cs="Arial"/>
          <w:sz w:val="24"/>
          <w:szCs w:val="24"/>
        </w:rPr>
        <w:t xml:space="preserve"> </w:t>
      </w:r>
      <w:r w:rsidR="00B421F1" w:rsidRPr="00207ED4">
        <w:rPr>
          <w:rFonts w:ascii="Arial" w:eastAsia="Arial" w:hAnsi="Arial" w:cs="Arial"/>
          <w:sz w:val="24"/>
          <w:szCs w:val="24"/>
        </w:rPr>
        <w:t xml:space="preserve">O perfil Caliper indica variações de diâmetro no intervalo de 16 a 26 m. Estes dados associados indicam uma zona de fraturamento nesta região. </w:t>
      </w:r>
      <w:r w:rsidRPr="00207ED4">
        <w:rPr>
          <w:rFonts w:ascii="Arial" w:eastAsia="Arial" w:hAnsi="Arial" w:cs="Arial"/>
          <w:sz w:val="24"/>
          <w:szCs w:val="24"/>
        </w:rPr>
        <w:t>Já</w:t>
      </w:r>
      <w:r w:rsidRPr="00CA3984">
        <w:rPr>
          <w:rFonts w:ascii="Arial" w:eastAsia="Arial" w:hAnsi="Arial" w:cs="Arial"/>
          <w:sz w:val="24"/>
          <w:szCs w:val="24"/>
        </w:rPr>
        <w:t xml:space="preserve"> os valores de resistividade apresentam-se homogêneos (média: </w:t>
      </w:r>
      <w:r w:rsidR="006F221A">
        <w:rPr>
          <w:rFonts w:ascii="Arial" w:eastAsia="Arial" w:hAnsi="Arial" w:cs="Arial"/>
          <w:i/>
          <w:sz w:val="24"/>
          <w:szCs w:val="24"/>
        </w:rPr>
        <w:t>NC</w:t>
      </w:r>
      <w:r w:rsidRPr="00CA3984">
        <w:rPr>
          <w:rFonts w:ascii="Arial" w:eastAsia="Arial" w:hAnsi="Arial" w:cs="Arial"/>
          <w:sz w:val="24"/>
          <w:szCs w:val="24"/>
        </w:rPr>
        <w:t xml:space="preserve">=500 ohm.m, </w:t>
      </w:r>
      <w:r w:rsidR="006F221A">
        <w:rPr>
          <w:rFonts w:ascii="Arial" w:eastAsia="Arial" w:hAnsi="Arial" w:cs="Arial"/>
          <w:i/>
          <w:sz w:val="24"/>
          <w:szCs w:val="24"/>
        </w:rPr>
        <w:t>NL</w:t>
      </w:r>
      <w:r w:rsidRPr="00CA3984">
        <w:rPr>
          <w:rFonts w:ascii="Arial" w:eastAsia="Arial" w:hAnsi="Arial" w:cs="Arial"/>
          <w:sz w:val="24"/>
          <w:szCs w:val="24"/>
        </w:rPr>
        <w:t>= 800 ohm.m)</w:t>
      </w:r>
      <w:r w:rsidR="006F221A">
        <w:rPr>
          <w:rFonts w:ascii="Arial" w:eastAsia="Arial" w:hAnsi="Arial" w:cs="Arial"/>
          <w:sz w:val="24"/>
          <w:szCs w:val="24"/>
        </w:rPr>
        <w:t>,</w:t>
      </w:r>
      <w:r w:rsidRPr="00CA3984">
        <w:rPr>
          <w:rFonts w:ascii="Arial" w:eastAsia="Arial" w:hAnsi="Arial" w:cs="Arial"/>
          <w:sz w:val="24"/>
          <w:szCs w:val="24"/>
        </w:rPr>
        <w:t xml:space="preserve"> com algumas porções </w:t>
      </w:r>
      <w:r w:rsidR="006F221A">
        <w:rPr>
          <w:rFonts w:ascii="Arial" w:eastAsia="Arial" w:hAnsi="Arial" w:cs="Arial"/>
          <w:sz w:val="24"/>
          <w:szCs w:val="24"/>
        </w:rPr>
        <w:t>menos resistivas</w:t>
      </w:r>
      <w:r w:rsidRPr="00CA3984">
        <w:rPr>
          <w:rFonts w:ascii="Arial" w:eastAsia="Arial" w:hAnsi="Arial" w:cs="Arial"/>
          <w:sz w:val="24"/>
          <w:szCs w:val="24"/>
        </w:rPr>
        <w:t xml:space="preserve"> </w:t>
      </w:r>
      <w:r w:rsidR="00B0783B">
        <w:rPr>
          <w:rFonts w:ascii="Arial" w:eastAsia="Arial" w:hAnsi="Arial" w:cs="Arial"/>
          <w:sz w:val="24"/>
          <w:szCs w:val="24"/>
        </w:rPr>
        <w:t xml:space="preserve">nos níveis </w:t>
      </w:r>
      <w:r w:rsidR="00B0783B">
        <w:rPr>
          <w:rFonts w:ascii="Arial" w:eastAsia="Arial" w:hAnsi="Arial" w:cs="Arial"/>
          <w:sz w:val="24"/>
          <w:szCs w:val="24"/>
        </w:rPr>
        <w:lastRenderedPageBreak/>
        <w:t>de</w:t>
      </w:r>
      <w:r w:rsidR="00B0783B" w:rsidRPr="00CA3984">
        <w:rPr>
          <w:rFonts w:ascii="Arial" w:eastAsia="Arial" w:hAnsi="Arial" w:cs="Arial"/>
          <w:sz w:val="24"/>
          <w:szCs w:val="24"/>
        </w:rPr>
        <w:t xml:space="preserve"> </w:t>
      </w:r>
      <w:r w:rsidRPr="00CA3984">
        <w:rPr>
          <w:rFonts w:ascii="Arial" w:eastAsia="Arial" w:hAnsi="Arial" w:cs="Arial"/>
          <w:sz w:val="24"/>
          <w:szCs w:val="24"/>
        </w:rPr>
        <w:t xml:space="preserve">hematita e itabirito brandos. Os valores de SP, principalmente na porção dos itabiritos brandos, aumentam progressivamente (de 300 a 530 mV) com a profundidade do poço, ficando cada vez mais positivos, indicando rochas mais oxidadas onde a salinidade da lama é maior que a da água da formação (região mais fraturada). A análise geral da perfilagem indica que os melhores intervalos para água estão na região com </w:t>
      </w:r>
      <w:r w:rsidR="00B0783B">
        <w:rPr>
          <w:rFonts w:ascii="Arial" w:eastAsia="Arial" w:hAnsi="Arial" w:cs="Arial"/>
          <w:sz w:val="24"/>
          <w:szCs w:val="24"/>
        </w:rPr>
        <w:t>ampla</w:t>
      </w:r>
      <w:r w:rsidR="00B0783B" w:rsidRPr="00CA3984">
        <w:rPr>
          <w:rFonts w:ascii="Arial" w:eastAsia="Arial" w:hAnsi="Arial" w:cs="Arial"/>
          <w:sz w:val="24"/>
          <w:szCs w:val="24"/>
        </w:rPr>
        <w:t xml:space="preserve"> </w:t>
      </w:r>
      <w:r w:rsidRPr="00CA3984">
        <w:rPr>
          <w:rFonts w:ascii="Arial" w:eastAsia="Arial" w:hAnsi="Arial" w:cs="Arial"/>
          <w:sz w:val="24"/>
          <w:szCs w:val="24"/>
        </w:rPr>
        <w:t xml:space="preserve">anomalia de </w:t>
      </w:r>
      <w:r w:rsidR="00B0783B">
        <w:rPr>
          <w:rFonts w:ascii="Arial" w:eastAsia="Arial" w:hAnsi="Arial" w:cs="Arial"/>
          <w:sz w:val="24"/>
          <w:szCs w:val="24"/>
        </w:rPr>
        <w:t>vagarosidade</w:t>
      </w:r>
      <w:r w:rsidR="00B0783B" w:rsidRPr="00CA3984">
        <w:rPr>
          <w:rFonts w:ascii="Arial" w:eastAsia="Arial" w:hAnsi="Arial" w:cs="Arial"/>
          <w:sz w:val="24"/>
          <w:szCs w:val="24"/>
        </w:rPr>
        <w:t xml:space="preserve"> </w:t>
      </w:r>
      <w:r w:rsidRPr="00CA3984">
        <w:rPr>
          <w:rFonts w:ascii="Arial" w:eastAsia="Arial" w:hAnsi="Arial" w:cs="Arial"/>
          <w:sz w:val="24"/>
          <w:szCs w:val="24"/>
        </w:rPr>
        <w:t>na hematita (zona provavelmente fraturada) e em porções de baixa resistividade (possível presença de água) na hematita e itabirito brando, com destaque para profundidades abaixo de 180 m</w:t>
      </w:r>
      <w:r w:rsidR="00B0783B">
        <w:rPr>
          <w:rFonts w:ascii="Arial" w:eastAsia="Arial" w:hAnsi="Arial" w:cs="Arial"/>
          <w:sz w:val="24"/>
          <w:szCs w:val="24"/>
        </w:rPr>
        <w:t>,</w:t>
      </w:r>
      <w:r w:rsidRPr="00CA3984">
        <w:rPr>
          <w:rFonts w:ascii="Arial" w:eastAsia="Arial" w:hAnsi="Arial" w:cs="Arial"/>
          <w:sz w:val="24"/>
          <w:szCs w:val="24"/>
        </w:rPr>
        <w:t xml:space="preserve"> onde a argilosidade é mais baixa (Figura 5).</w:t>
      </w:r>
    </w:p>
    <w:p w14:paraId="01E2DF21" w14:textId="4995F76E" w:rsidR="00E07BB3" w:rsidRPr="00CA3984" w:rsidRDefault="00705E12" w:rsidP="00CA3984">
      <w:pPr>
        <w:jc w:val="center"/>
        <w:rPr>
          <w:rFonts w:ascii="Arial" w:hAnsi="Arial" w:cs="Arial"/>
          <w:b/>
          <w:szCs w:val="24"/>
        </w:rPr>
      </w:pPr>
      <w:r>
        <w:rPr>
          <w:rFonts w:ascii="Arial" w:hAnsi="Arial" w:cs="Arial"/>
          <w:b/>
          <w:noProof/>
          <w:szCs w:val="24"/>
        </w:rPr>
        <w:drawing>
          <wp:inline distT="0" distB="0" distL="0" distR="0" wp14:anchorId="1942069D" wp14:editId="04EE766F">
            <wp:extent cx="5184000" cy="4248000"/>
            <wp:effectExtent l="0" t="0" r="0" b="63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a 5.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84000" cy="4248000"/>
                    </a:xfrm>
                    <a:prstGeom prst="rect">
                      <a:avLst/>
                    </a:prstGeom>
                  </pic:spPr>
                </pic:pic>
              </a:graphicData>
            </a:graphic>
          </wp:inline>
        </w:drawing>
      </w:r>
    </w:p>
    <w:p w14:paraId="7796B50D" w14:textId="60336581" w:rsidR="00E07BB3" w:rsidRPr="00CA3984" w:rsidRDefault="00E8653F" w:rsidP="00D41945">
      <w:pPr>
        <w:rPr>
          <w:rFonts w:ascii="Arial" w:hAnsi="Arial" w:cs="Arial"/>
          <w:b/>
          <w:szCs w:val="24"/>
        </w:rPr>
      </w:pPr>
      <w:r w:rsidRPr="00CA3984">
        <w:rPr>
          <w:rFonts w:ascii="Arial" w:hAnsi="Arial" w:cs="Arial"/>
          <w:b/>
          <w:szCs w:val="24"/>
        </w:rPr>
        <w:t xml:space="preserve">Figura 5 </w:t>
      </w:r>
      <w:r w:rsidR="003E5EE1">
        <w:rPr>
          <w:rFonts w:ascii="Arial" w:hAnsi="Arial" w:cs="Arial"/>
          <w:b/>
          <w:szCs w:val="24"/>
        </w:rPr>
        <w:t>–</w:t>
      </w:r>
      <w:r w:rsidRPr="00CA3984">
        <w:rPr>
          <w:rFonts w:ascii="Arial" w:hAnsi="Arial" w:cs="Arial"/>
          <w:szCs w:val="24"/>
        </w:rPr>
        <w:t xml:space="preserve"> </w:t>
      </w:r>
      <w:r w:rsidR="00B0783B">
        <w:rPr>
          <w:rFonts w:ascii="Arial" w:hAnsi="Arial" w:cs="Arial"/>
          <w:szCs w:val="24"/>
        </w:rPr>
        <w:t>P</w:t>
      </w:r>
      <w:r w:rsidRPr="00CA3984">
        <w:rPr>
          <w:rFonts w:ascii="Arial" w:hAnsi="Arial" w:cs="Arial"/>
          <w:szCs w:val="24"/>
        </w:rPr>
        <w:t xml:space="preserve">erfil geofísico do </w:t>
      </w:r>
      <w:r w:rsidR="001B3DB2">
        <w:rPr>
          <w:rFonts w:ascii="Arial" w:hAnsi="Arial" w:cs="Arial"/>
          <w:szCs w:val="24"/>
        </w:rPr>
        <w:t>p</w:t>
      </w:r>
      <w:r w:rsidRPr="00CA3984">
        <w:rPr>
          <w:rFonts w:ascii="Arial" w:hAnsi="Arial" w:cs="Arial"/>
          <w:szCs w:val="24"/>
        </w:rPr>
        <w:t>oço 2.</w:t>
      </w:r>
    </w:p>
    <w:p w14:paraId="6BAC992D" w14:textId="02396EB3" w:rsidR="00E07BB3" w:rsidRDefault="00E8653F" w:rsidP="00D41945">
      <w:pPr>
        <w:rPr>
          <w:rFonts w:ascii="Arial" w:hAnsi="Arial" w:cs="Arial"/>
          <w:szCs w:val="24"/>
          <w:lang w:val="en-US"/>
        </w:rPr>
      </w:pPr>
      <w:r w:rsidRPr="00CA3984">
        <w:rPr>
          <w:rFonts w:ascii="Arial" w:hAnsi="Arial" w:cs="Arial"/>
          <w:b/>
          <w:szCs w:val="24"/>
          <w:lang w:val="en-US"/>
        </w:rPr>
        <w:t>Figure 5 –</w:t>
      </w:r>
      <w:r w:rsidRPr="00CA3984">
        <w:rPr>
          <w:rFonts w:ascii="Arial" w:hAnsi="Arial" w:cs="Arial"/>
          <w:szCs w:val="24"/>
          <w:lang w:val="en-US"/>
        </w:rPr>
        <w:t xml:space="preserve"> Well logging of the well 2.</w:t>
      </w:r>
    </w:p>
    <w:p w14:paraId="705888CA" w14:textId="1D75CA97" w:rsidR="001541D7" w:rsidRDefault="001541D7" w:rsidP="00D41945">
      <w:pPr>
        <w:rPr>
          <w:rFonts w:ascii="Arial" w:hAnsi="Arial" w:cs="Arial"/>
          <w:szCs w:val="24"/>
          <w:lang w:val="en-US"/>
        </w:rPr>
      </w:pPr>
    </w:p>
    <w:p w14:paraId="4AE9CC82" w14:textId="77777777" w:rsidR="00C24384" w:rsidRDefault="00C24384" w:rsidP="00D41945">
      <w:pPr>
        <w:rPr>
          <w:rFonts w:ascii="Arial" w:hAnsi="Arial" w:cs="Arial"/>
          <w:szCs w:val="24"/>
          <w:lang w:val="en-US"/>
        </w:rPr>
      </w:pPr>
    </w:p>
    <w:p w14:paraId="7B5A783A" w14:textId="4BE7B2FF" w:rsidR="00E07BB3" w:rsidRPr="00CA3984" w:rsidRDefault="00E8653F">
      <w:pPr>
        <w:spacing w:line="480" w:lineRule="auto"/>
        <w:ind w:firstLine="709"/>
        <w:jc w:val="both"/>
        <w:rPr>
          <w:rFonts w:ascii="Arial" w:hAnsi="Arial" w:cs="Arial"/>
          <w:sz w:val="24"/>
          <w:szCs w:val="24"/>
        </w:rPr>
      </w:pPr>
      <w:r w:rsidRPr="00CA3984">
        <w:rPr>
          <w:rFonts w:ascii="Arial" w:eastAsia="Arial" w:hAnsi="Arial" w:cs="Arial"/>
          <w:sz w:val="24"/>
          <w:szCs w:val="24"/>
        </w:rPr>
        <w:t>O poço 3 apresenta como litologia predominante os itabiritos, sendo cerc</w:t>
      </w:r>
      <w:r w:rsidR="006E6E91">
        <w:rPr>
          <w:rFonts w:ascii="Arial" w:eastAsia="Arial" w:hAnsi="Arial" w:cs="Arial"/>
          <w:sz w:val="24"/>
          <w:szCs w:val="24"/>
        </w:rPr>
        <w:t>a de 70% de natureza branda e 30</w:t>
      </w:r>
      <w:r w:rsidRPr="00CA3984">
        <w:rPr>
          <w:rFonts w:ascii="Arial" w:eastAsia="Arial" w:hAnsi="Arial" w:cs="Arial"/>
          <w:sz w:val="24"/>
          <w:szCs w:val="24"/>
        </w:rPr>
        <w:t>% compacta. O poço apresen</w:t>
      </w:r>
      <w:r w:rsidR="0039108F">
        <w:rPr>
          <w:rFonts w:ascii="Arial" w:eastAsia="Arial" w:hAnsi="Arial" w:cs="Arial"/>
          <w:sz w:val="24"/>
          <w:szCs w:val="24"/>
        </w:rPr>
        <w:t>ta uma vazão específica alta (4,</w:t>
      </w:r>
      <w:r w:rsidRPr="00CA3984">
        <w:rPr>
          <w:rFonts w:ascii="Arial" w:eastAsia="Arial" w:hAnsi="Arial" w:cs="Arial"/>
          <w:sz w:val="24"/>
          <w:szCs w:val="24"/>
        </w:rPr>
        <w:t xml:space="preserve">27 m³/h.m). Sua grande quantidade de água predomina nos itabiritos brandos </w:t>
      </w:r>
      <w:r w:rsidRPr="00CA3984">
        <w:rPr>
          <w:rFonts w:ascii="Arial" w:eastAsia="Arial" w:hAnsi="Arial" w:cs="Arial"/>
          <w:sz w:val="24"/>
          <w:szCs w:val="24"/>
        </w:rPr>
        <w:lastRenderedPageBreak/>
        <w:t xml:space="preserve">e está associada à baixa argilosidade do poço (marcada pelos baixos valores de </w:t>
      </w:r>
      <w:r w:rsidR="00B0783B">
        <w:rPr>
          <w:rFonts w:ascii="Arial" w:eastAsia="Arial" w:hAnsi="Arial" w:cs="Arial"/>
          <w:sz w:val="24"/>
          <w:szCs w:val="24"/>
        </w:rPr>
        <w:t xml:space="preserve">raios </w:t>
      </w:r>
      <w:r w:rsidRPr="00CA3984">
        <w:rPr>
          <w:rFonts w:ascii="Arial" w:eastAsia="Arial" w:hAnsi="Arial" w:cs="Arial"/>
          <w:sz w:val="24"/>
          <w:szCs w:val="24"/>
        </w:rPr>
        <w:t xml:space="preserve">gama – até 10 API - em toda a sua extensão) e ao provável fraturamento em algumas porções dos itabiritos compactos (sugeridos pelo aumento </w:t>
      </w:r>
      <w:r w:rsidR="00B0783B">
        <w:rPr>
          <w:rFonts w:ascii="Arial" w:eastAsia="Arial" w:hAnsi="Arial" w:cs="Arial"/>
          <w:sz w:val="24"/>
          <w:szCs w:val="24"/>
        </w:rPr>
        <w:t>da vagarosidade – Figura 6</w:t>
      </w:r>
      <w:r w:rsidRPr="00CA3984">
        <w:rPr>
          <w:rFonts w:ascii="Arial" w:eastAsia="Arial" w:hAnsi="Arial" w:cs="Arial"/>
          <w:sz w:val="24"/>
          <w:szCs w:val="24"/>
        </w:rPr>
        <w:t xml:space="preserve">). O </w:t>
      </w:r>
      <w:r w:rsidR="00B0783B">
        <w:rPr>
          <w:rFonts w:ascii="Arial" w:eastAsia="Arial" w:hAnsi="Arial" w:cs="Arial"/>
          <w:sz w:val="24"/>
          <w:szCs w:val="24"/>
        </w:rPr>
        <w:t xml:space="preserve">perfil </w:t>
      </w:r>
      <w:r w:rsidRPr="00CA3984">
        <w:rPr>
          <w:rFonts w:ascii="Arial" w:eastAsia="Arial" w:hAnsi="Arial" w:cs="Arial"/>
          <w:sz w:val="24"/>
          <w:szCs w:val="24"/>
        </w:rPr>
        <w:t xml:space="preserve">sônico apresenta variações de 100 a 300 µs/ft e os valores médios de resistividade são de 600 ohm.m para o </w:t>
      </w:r>
      <w:r w:rsidR="00480DAB">
        <w:rPr>
          <w:rFonts w:ascii="Arial" w:eastAsia="Arial" w:hAnsi="Arial" w:cs="Arial"/>
          <w:i/>
          <w:sz w:val="24"/>
          <w:szCs w:val="24"/>
        </w:rPr>
        <w:t>NC</w:t>
      </w:r>
      <w:r w:rsidR="00480DAB" w:rsidRPr="00CA3984">
        <w:rPr>
          <w:rFonts w:ascii="Arial" w:eastAsia="Arial" w:hAnsi="Arial" w:cs="Arial"/>
          <w:sz w:val="24"/>
          <w:szCs w:val="24"/>
        </w:rPr>
        <w:t xml:space="preserve"> </w:t>
      </w:r>
      <w:r w:rsidRPr="00CA3984">
        <w:rPr>
          <w:rFonts w:ascii="Arial" w:eastAsia="Arial" w:hAnsi="Arial" w:cs="Arial"/>
          <w:sz w:val="24"/>
          <w:szCs w:val="24"/>
        </w:rPr>
        <w:t xml:space="preserve">e 1200 ohm.m para o </w:t>
      </w:r>
      <w:r w:rsidR="00480DAB">
        <w:rPr>
          <w:rFonts w:ascii="Arial" w:eastAsia="Arial" w:hAnsi="Arial" w:cs="Arial"/>
          <w:i/>
          <w:sz w:val="24"/>
          <w:szCs w:val="24"/>
        </w:rPr>
        <w:t>NL</w:t>
      </w:r>
      <w:r w:rsidRPr="00CA3984">
        <w:rPr>
          <w:rFonts w:ascii="Arial" w:eastAsia="Arial" w:hAnsi="Arial" w:cs="Arial"/>
          <w:sz w:val="24"/>
          <w:szCs w:val="24"/>
        </w:rPr>
        <w:t xml:space="preserve">). A resistividade tem alguns pontos de diminuição que coincidem com aumentos no </w:t>
      </w:r>
      <w:r w:rsidR="00480DAB">
        <w:rPr>
          <w:rFonts w:ascii="Arial" w:eastAsia="Arial" w:hAnsi="Arial" w:cs="Arial"/>
          <w:sz w:val="24"/>
          <w:szCs w:val="24"/>
        </w:rPr>
        <w:t xml:space="preserve">perfil </w:t>
      </w:r>
      <w:r w:rsidRPr="00CA3984">
        <w:rPr>
          <w:rFonts w:ascii="Arial" w:eastAsia="Arial" w:hAnsi="Arial" w:cs="Arial"/>
          <w:sz w:val="24"/>
          <w:szCs w:val="24"/>
        </w:rPr>
        <w:t>sônico, indicando possíveis fraturas preenchidas por água. O SP, por sua vez, apresenta-se positivo em todo poço, em média 350 mV. Na Figura 6 é possível notar o provável faturamento (ou porosidade secundária) nos itabiritos, principalmente na transição entre as litologias branda e compacta.</w:t>
      </w:r>
    </w:p>
    <w:p w14:paraId="58C35509" w14:textId="4866BC21" w:rsidR="00E07BB3" w:rsidRPr="00CA3984" w:rsidRDefault="00705E12" w:rsidP="00CA3984">
      <w:pPr>
        <w:ind w:firstLine="708"/>
        <w:jc w:val="center"/>
        <w:rPr>
          <w:rFonts w:ascii="Arial" w:hAnsi="Arial" w:cs="Arial"/>
          <w:b/>
          <w:szCs w:val="24"/>
        </w:rPr>
      </w:pPr>
      <w:r>
        <w:rPr>
          <w:rFonts w:ascii="Arial" w:hAnsi="Arial" w:cs="Arial"/>
          <w:b/>
          <w:noProof/>
          <w:szCs w:val="24"/>
        </w:rPr>
        <w:drawing>
          <wp:inline distT="0" distB="0" distL="0" distR="0" wp14:anchorId="284C1668" wp14:editId="6B6B6C9A">
            <wp:extent cx="5184000" cy="357120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a 6.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84000" cy="3571200"/>
                    </a:xfrm>
                    <a:prstGeom prst="rect">
                      <a:avLst/>
                    </a:prstGeom>
                  </pic:spPr>
                </pic:pic>
              </a:graphicData>
            </a:graphic>
          </wp:inline>
        </w:drawing>
      </w:r>
    </w:p>
    <w:p w14:paraId="58A21FCC" w14:textId="44FF8329" w:rsidR="00E07BB3" w:rsidRPr="00CA3984" w:rsidRDefault="00E8653F" w:rsidP="00D41945">
      <w:pPr>
        <w:rPr>
          <w:rFonts w:ascii="Arial" w:hAnsi="Arial" w:cs="Arial"/>
          <w:b/>
          <w:szCs w:val="24"/>
        </w:rPr>
      </w:pPr>
      <w:r w:rsidRPr="00CA3984">
        <w:rPr>
          <w:rFonts w:ascii="Arial" w:hAnsi="Arial" w:cs="Arial"/>
          <w:b/>
          <w:szCs w:val="24"/>
        </w:rPr>
        <w:t xml:space="preserve">Figura 6 </w:t>
      </w:r>
      <w:r w:rsidR="003E5EE1">
        <w:rPr>
          <w:rFonts w:ascii="Arial" w:hAnsi="Arial" w:cs="Arial"/>
          <w:b/>
          <w:szCs w:val="24"/>
        </w:rPr>
        <w:t>–</w:t>
      </w:r>
      <w:r w:rsidRPr="00CA3984">
        <w:rPr>
          <w:rFonts w:ascii="Arial" w:hAnsi="Arial" w:cs="Arial"/>
          <w:szCs w:val="24"/>
        </w:rPr>
        <w:t xml:space="preserve"> </w:t>
      </w:r>
      <w:r w:rsidR="00480DAB">
        <w:rPr>
          <w:rFonts w:ascii="Arial" w:hAnsi="Arial" w:cs="Arial"/>
          <w:szCs w:val="24"/>
        </w:rPr>
        <w:t>P</w:t>
      </w:r>
      <w:r w:rsidRPr="00CA3984">
        <w:rPr>
          <w:rFonts w:ascii="Arial" w:hAnsi="Arial" w:cs="Arial"/>
          <w:szCs w:val="24"/>
        </w:rPr>
        <w:t xml:space="preserve">erfil geofísico do </w:t>
      </w:r>
      <w:r w:rsidR="001B3DB2">
        <w:rPr>
          <w:rFonts w:ascii="Arial" w:hAnsi="Arial" w:cs="Arial"/>
          <w:szCs w:val="24"/>
        </w:rPr>
        <w:t>p</w:t>
      </w:r>
      <w:r w:rsidRPr="00CA3984">
        <w:rPr>
          <w:rFonts w:ascii="Arial" w:hAnsi="Arial" w:cs="Arial"/>
          <w:szCs w:val="24"/>
        </w:rPr>
        <w:t>oço 3.</w:t>
      </w:r>
    </w:p>
    <w:p w14:paraId="5EAAB3AB" w14:textId="191327A9" w:rsidR="00E07BB3" w:rsidRDefault="00E8653F" w:rsidP="00D41945">
      <w:pPr>
        <w:rPr>
          <w:rFonts w:ascii="Arial" w:hAnsi="Arial" w:cs="Arial"/>
          <w:szCs w:val="24"/>
          <w:lang w:val="en-US"/>
        </w:rPr>
      </w:pPr>
      <w:r w:rsidRPr="00CA3984">
        <w:rPr>
          <w:rFonts w:ascii="Arial" w:hAnsi="Arial" w:cs="Arial"/>
          <w:b/>
          <w:szCs w:val="24"/>
          <w:lang w:val="en-US"/>
        </w:rPr>
        <w:t xml:space="preserve">Figure 6 </w:t>
      </w:r>
      <w:r w:rsidR="003E5EE1">
        <w:rPr>
          <w:rFonts w:ascii="Arial" w:hAnsi="Arial" w:cs="Arial"/>
          <w:b/>
          <w:szCs w:val="24"/>
          <w:lang w:val="en-US"/>
        </w:rPr>
        <w:t>–</w:t>
      </w:r>
      <w:r w:rsidRPr="00CA3984">
        <w:rPr>
          <w:rFonts w:ascii="Arial" w:hAnsi="Arial" w:cs="Arial"/>
          <w:szCs w:val="24"/>
          <w:lang w:val="en-US"/>
        </w:rPr>
        <w:t xml:space="preserve"> Well logging of the well 3.</w:t>
      </w:r>
    </w:p>
    <w:p w14:paraId="0EE54A9A" w14:textId="230B3525" w:rsidR="001541D7" w:rsidRDefault="001541D7" w:rsidP="00D41945">
      <w:pPr>
        <w:rPr>
          <w:rFonts w:ascii="Arial" w:hAnsi="Arial" w:cs="Arial"/>
          <w:szCs w:val="24"/>
          <w:lang w:val="en-US"/>
        </w:rPr>
      </w:pPr>
    </w:p>
    <w:p w14:paraId="00028CA9" w14:textId="77777777" w:rsidR="001541D7" w:rsidRPr="00CA3984" w:rsidRDefault="001541D7" w:rsidP="00D41945">
      <w:pPr>
        <w:rPr>
          <w:rFonts w:ascii="Arial" w:eastAsia="Arial" w:hAnsi="Arial" w:cs="Arial"/>
          <w:szCs w:val="24"/>
          <w:lang w:val="en-US"/>
        </w:rPr>
      </w:pPr>
    </w:p>
    <w:p w14:paraId="16A25FC8" w14:textId="166C21ED" w:rsidR="00E07BB3" w:rsidRPr="00CA3984" w:rsidRDefault="00E8653F">
      <w:pPr>
        <w:spacing w:line="480" w:lineRule="auto"/>
        <w:jc w:val="both"/>
        <w:rPr>
          <w:rFonts w:ascii="Arial" w:hAnsi="Arial" w:cs="Arial"/>
          <w:sz w:val="24"/>
          <w:szCs w:val="24"/>
        </w:rPr>
      </w:pPr>
      <w:r w:rsidRPr="00CA3984">
        <w:rPr>
          <w:rFonts w:ascii="Arial" w:eastAsia="Arial" w:hAnsi="Arial" w:cs="Arial"/>
          <w:sz w:val="24"/>
          <w:szCs w:val="24"/>
          <w:lang w:val="en-US"/>
        </w:rPr>
        <w:tab/>
      </w:r>
      <w:r w:rsidRPr="00CA3984">
        <w:rPr>
          <w:rFonts w:ascii="Arial" w:eastAsia="Arial" w:hAnsi="Arial" w:cs="Arial"/>
          <w:sz w:val="24"/>
          <w:szCs w:val="24"/>
        </w:rPr>
        <w:t xml:space="preserve">O poço 4 é totalmente perfurado em rochas carbonáticas, com 58% de litologia branda e 42% compacta. Possui vazão específica </w:t>
      </w:r>
      <w:r w:rsidR="00480DAB" w:rsidRPr="00CA3984">
        <w:rPr>
          <w:rFonts w:ascii="Arial" w:eastAsia="Arial" w:hAnsi="Arial" w:cs="Arial"/>
          <w:sz w:val="24"/>
          <w:szCs w:val="24"/>
        </w:rPr>
        <w:t xml:space="preserve">baixa </w:t>
      </w:r>
      <w:r w:rsidRPr="00CA3984">
        <w:rPr>
          <w:rFonts w:ascii="Arial" w:eastAsia="Arial" w:hAnsi="Arial" w:cs="Arial"/>
          <w:sz w:val="24"/>
          <w:szCs w:val="24"/>
        </w:rPr>
        <w:t>(2</w:t>
      </w:r>
      <w:r w:rsidR="001B3DB2">
        <w:rPr>
          <w:rFonts w:ascii="Arial" w:eastAsia="Arial" w:hAnsi="Arial" w:cs="Arial"/>
          <w:sz w:val="24"/>
          <w:szCs w:val="24"/>
        </w:rPr>
        <w:t>,</w:t>
      </w:r>
      <w:r w:rsidRPr="00CA3984">
        <w:rPr>
          <w:rFonts w:ascii="Arial" w:eastAsia="Arial" w:hAnsi="Arial" w:cs="Arial"/>
          <w:sz w:val="24"/>
          <w:szCs w:val="24"/>
        </w:rPr>
        <w:t xml:space="preserve">13 m³/h.m), sugerindo que este tipo de itabirito não é tão favorável para água. Os valores médios </w:t>
      </w:r>
      <w:r w:rsidR="00C9633A">
        <w:rPr>
          <w:rFonts w:ascii="Arial" w:eastAsia="Arial" w:hAnsi="Arial" w:cs="Arial"/>
          <w:sz w:val="24"/>
          <w:szCs w:val="24"/>
        </w:rPr>
        <w:t>dos perfis</w:t>
      </w:r>
      <w:r w:rsidR="009A04B1">
        <w:rPr>
          <w:rFonts w:ascii="Arial" w:eastAsia="Arial" w:hAnsi="Arial" w:cs="Arial"/>
          <w:sz w:val="24"/>
          <w:szCs w:val="24"/>
        </w:rPr>
        <w:t xml:space="preserve"> são de 15 API para os</w:t>
      </w:r>
      <w:r w:rsidR="00480DAB">
        <w:rPr>
          <w:rFonts w:ascii="Arial" w:eastAsia="Arial" w:hAnsi="Arial" w:cs="Arial"/>
          <w:sz w:val="24"/>
          <w:szCs w:val="24"/>
        </w:rPr>
        <w:t xml:space="preserve"> raios</w:t>
      </w:r>
      <w:r w:rsidRPr="00CA3984">
        <w:rPr>
          <w:rFonts w:ascii="Arial" w:eastAsia="Arial" w:hAnsi="Arial" w:cs="Arial"/>
          <w:sz w:val="24"/>
          <w:szCs w:val="24"/>
        </w:rPr>
        <w:t xml:space="preserve"> gama, 0</w:t>
      </w:r>
      <w:r w:rsidR="00480DAB">
        <w:rPr>
          <w:rFonts w:ascii="Arial" w:eastAsia="Arial" w:hAnsi="Arial" w:cs="Arial"/>
          <w:sz w:val="24"/>
          <w:szCs w:val="24"/>
        </w:rPr>
        <w:t xml:space="preserve"> </w:t>
      </w:r>
      <w:r w:rsidRPr="00CA3984">
        <w:rPr>
          <w:rFonts w:ascii="Arial" w:eastAsia="Arial" w:hAnsi="Arial" w:cs="Arial"/>
          <w:sz w:val="24"/>
          <w:szCs w:val="24"/>
        </w:rPr>
        <w:t xml:space="preserve">mV no SP (inversão de valores negativos para </w:t>
      </w:r>
      <w:r w:rsidRPr="00CA3984">
        <w:rPr>
          <w:rFonts w:ascii="Arial" w:eastAsia="Arial" w:hAnsi="Arial" w:cs="Arial"/>
          <w:sz w:val="24"/>
          <w:szCs w:val="24"/>
        </w:rPr>
        <w:lastRenderedPageBreak/>
        <w:t xml:space="preserve">positivos a 120 m de profundidade), variação de 20 a 280 µs/ft no </w:t>
      </w:r>
      <w:r w:rsidR="00480DAB">
        <w:rPr>
          <w:rFonts w:ascii="Arial" w:eastAsia="Arial" w:hAnsi="Arial" w:cs="Arial"/>
          <w:sz w:val="24"/>
          <w:szCs w:val="24"/>
        </w:rPr>
        <w:t xml:space="preserve">perfil </w:t>
      </w:r>
      <w:r w:rsidRPr="00CA3984">
        <w:rPr>
          <w:rFonts w:ascii="Arial" w:eastAsia="Arial" w:hAnsi="Arial" w:cs="Arial"/>
          <w:sz w:val="24"/>
          <w:szCs w:val="24"/>
        </w:rPr>
        <w:t xml:space="preserve">sônico e resistividade média de 300 ohm.m para o </w:t>
      </w:r>
      <w:r w:rsidR="00480DAB">
        <w:rPr>
          <w:rFonts w:ascii="Arial" w:eastAsia="Arial" w:hAnsi="Arial" w:cs="Arial"/>
          <w:i/>
          <w:sz w:val="24"/>
          <w:szCs w:val="24"/>
        </w:rPr>
        <w:t>NC</w:t>
      </w:r>
      <w:r w:rsidR="00480DAB" w:rsidRPr="00CA3984">
        <w:rPr>
          <w:rFonts w:ascii="Arial" w:eastAsia="Arial" w:hAnsi="Arial" w:cs="Arial"/>
          <w:sz w:val="24"/>
          <w:szCs w:val="24"/>
        </w:rPr>
        <w:t xml:space="preserve"> </w:t>
      </w:r>
      <w:r w:rsidRPr="00CA3984">
        <w:rPr>
          <w:rFonts w:ascii="Arial" w:eastAsia="Arial" w:hAnsi="Arial" w:cs="Arial"/>
          <w:sz w:val="24"/>
          <w:szCs w:val="24"/>
        </w:rPr>
        <w:t xml:space="preserve">e 700 ohm.m para o </w:t>
      </w:r>
      <w:r w:rsidR="00480DAB">
        <w:rPr>
          <w:rFonts w:ascii="Arial" w:eastAsia="Arial" w:hAnsi="Arial" w:cs="Arial"/>
          <w:i/>
          <w:sz w:val="24"/>
          <w:szCs w:val="24"/>
        </w:rPr>
        <w:t>NL</w:t>
      </w:r>
      <w:r w:rsidR="00480DAB" w:rsidRPr="00C9633A">
        <w:rPr>
          <w:rFonts w:ascii="Arial" w:eastAsia="Arial" w:hAnsi="Arial" w:cs="Arial"/>
          <w:sz w:val="24"/>
          <w:szCs w:val="24"/>
        </w:rPr>
        <w:t xml:space="preserve"> (Figura 7)</w:t>
      </w:r>
      <w:r w:rsidRPr="00CA3984">
        <w:rPr>
          <w:rFonts w:ascii="Arial" w:eastAsia="Arial" w:hAnsi="Arial" w:cs="Arial"/>
          <w:sz w:val="24"/>
          <w:szCs w:val="24"/>
        </w:rPr>
        <w:t xml:space="preserve">. O perfil de </w:t>
      </w:r>
      <w:r w:rsidR="00480DAB">
        <w:rPr>
          <w:rFonts w:ascii="Arial" w:eastAsia="Arial" w:hAnsi="Arial" w:cs="Arial"/>
          <w:sz w:val="24"/>
          <w:szCs w:val="24"/>
        </w:rPr>
        <w:t xml:space="preserve">raios </w:t>
      </w:r>
      <w:r w:rsidRPr="00CA3984">
        <w:rPr>
          <w:rFonts w:ascii="Arial" w:eastAsia="Arial" w:hAnsi="Arial" w:cs="Arial"/>
          <w:sz w:val="24"/>
          <w:szCs w:val="24"/>
        </w:rPr>
        <w:t>gama apresenta baixos valores</w:t>
      </w:r>
      <w:r w:rsidR="00480DAB">
        <w:rPr>
          <w:rFonts w:ascii="Arial" w:eastAsia="Arial" w:hAnsi="Arial" w:cs="Arial"/>
          <w:sz w:val="24"/>
          <w:szCs w:val="24"/>
        </w:rPr>
        <w:t>,</w:t>
      </w:r>
      <w:r w:rsidRPr="00CA3984">
        <w:rPr>
          <w:rFonts w:ascii="Arial" w:eastAsia="Arial" w:hAnsi="Arial" w:cs="Arial"/>
          <w:sz w:val="24"/>
          <w:szCs w:val="24"/>
        </w:rPr>
        <w:t xml:space="preserve"> indicando baixa argilosidade</w:t>
      </w:r>
      <w:r w:rsidR="009A04B1">
        <w:rPr>
          <w:rFonts w:ascii="Arial" w:eastAsia="Arial" w:hAnsi="Arial" w:cs="Arial"/>
          <w:sz w:val="24"/>
          <w:szCs w:val="24"/>
        </w:rPr>
        <w:t>. E</w:t>
      </w:r>
      <w:r w:rsidR="00C9633A">
        <w:rPr>
          <w:rFonts w:ascii="Arial" w:eastAsia="Arial" w:hAnsi="Arial" w:cs="Arial"/>
          <w:sz w:val="24"/>
          <w:szCs w:val="24"/>
        </w:rPr>
        <w:t>ste fato</w:t>
      </w:r>
      <w:r w:rsidRPr="00CA3984">
        <w:rPr>
          <w:rFonts w:ascii="Arial" w:eastAsia="Arial" w:hAnsi="Arial" w:cs="Arial"/>
          <w:sz w:val="24"/>
          <w:szCs w:val="24"/>
        </w:rPr>
        <w:t xml:space="preserve">, aliado à homogeneidade do SP, indica um maciço rochoso pouco alterado e, logo, é improvável a presença de porosidade secundária. </w:t>
      </w:r>
      <w:r w:rsidR="006B723B" w:rsidRPr="00207ED4">
        <w:rPr>
          <w:rFonts w:ascii="Arial" w:eastAsia="Arial" w:hAnsi="Arial" w:cs="Arial"/>
          <w:sz w:val="24"/>
          <w:szCs w:val="24"/>
        </w:rPr>
        <w:t>A</w:t>
      </w:r>
      <w:r w:rsidRPr="00207ED4">
        <w:rPr>
          <w:rFonts w:ascii="Arial" w:eastAsia="Arial" w:hAnsi="Arial" w:cs="Arial"/>
          <w:sz w:val="24"/>
          <w:szCs w:val="24"/>
        </w:rPr>
        <w:t xml:space="preserve"> curva do </w:t>
      </w:r>
      <w:r w:rsidR="00480DAB" w:rsidRPr="00207ED4">
        <w:rPr>
          <w:rFonts w:ascii="Arial" w:eastAsia="Arial" w:hAnsi="Arial" w:cs="Arial"/>
          <w:sz w:val="24"/>
          <w:szCs w:val="24"/>
        </w:rPr>
        <w:t xml:space="preserve">perfil </w:t>
      </w:r>
      <w:r w:rsidRPr="00207ED4">
        <w:rPr>
          <w:rFonts w:ascii="Arial" w:eastAsia="Arial" w:hAnsi="Arial" w:cs="Arial"/>
          <w:sz w:val="24"/>
          <w:szCs w:val="24"/>
        </w:rPr>
        <w:t>sônico apresenta-se irregular e serrilhada em todo poço,</w:t>
      </w:r>
      <w:r w:rsidR="00426CBB" w:rsidRPr="00207ED4">
        <w:rPr>
          <w:rFonts w:ascii="Arial" w:eastAsia="Arial" w:hAnsi="Arial" w:cs="Arial"/>
          <w:sz w:val="24"/>
          <w:szCs w:val="24"/>
        </w:rPr>
        <w:t xml:space="preserve"> mas este dado sozinho não é suficiente para determinar </w:t>
      </w:r>
      <w:r w:rsidR="003D0D96" w:rsidRPr="00207ED4">
        <w:rPr>
          <w:rFonts w:ascii="Arial" w:eastAsia="Arial" w:hAnsi="Arial" w:cs="Arial"/>
          <w:sz w:val="24"/>
          <w:szCs w:val="24"/>
        </w:rPr>
        <w:t xml:space="preserve">a presença de fraturas, no entanto, quando </w:t>
      </w:r>
      <w:r w:rsidR="006B723B" w:rsidRPr="00207ED4">
        <w:rPr>
          <w:rFonts w:ascii="Arial" w:eastAsia="Arial" w:hAnsi="Arial" w:cs="Arial"/>
          <w:sz w:val="24"/>
          <w:szCs w:val="24"/>
        </w:rPr>
        <w:t>associado as variações no diâmetro do poço (perfil Caliper), evidenciam um</w:t>
      </w:r>
      <w:r w:rsidR="00D5642F" w:rsidRPr="00207ED4">
        <w:rPr>
          <w:rFonts w:ascii="Arial" w:eastAsia="Arial" w:hAnsi="Arial" w:cs="Arial"/>
          <w:sz w:val="24"/>
          <w:szCs w:val="24"/>
        </w:rPr>
        <w:t>a zona de</w:t>
      </w:r>
      <w:r w:rsidR="006B723B" w:rsidRPr="00207ED4">
        <w:rPr>
          <w:rFonts w:ascii="Arial" w:eastAsia="Arial" w:hAnsi="Arial" w:cs="Arial"/>
          <w:sz w:val="24"/>
          <w:szCs w:val="24"/>
        </w:rPr>
        <w:t xml:space="preserve"> </w:t>
      </w:r>
      <w:r w:rsidR="003A1AD1">
        <w:rPr>
          <w:rFonts w:ascii="Arial" w:eastAsia="Arial" w:hAnsi="Arial" w:cs="Arial"/>
          <w:sz w:val="24"/>
          <w:szCs w:val="24"/>
        </w:rPr>
        <w:t>faturamento ou cavidades</w:t>
      </w:r>
      <w:r w:rsidR="003D0D96" w:rsidRPr="00207ED4">
        <w:rPr>
          <w:rFonts w:ascii="Arial" w:eastAsia="Arial" w:hAnsi="Arial" w:cs="Arial"/>
          <w:sz w:val="24"/>
          <w:szCs w:val="24"/>
        </w:rPr>
        <w:t>.</w:t>
      </w:r>
      <w:r w:rsidR="006B723B">
        <w:rPr>
          <w:rFonts w:ascii="Arial" w:eastAsia="Arial" w:hAnsi="Arial" w:cs="Arial"/>
          <w:sz w:val="24"/>
          <w:szCs w:val="24"/>
        </w:rPr>
        <w:t xml:space="preserve"> </w:t>
      </w:r>
      <w:r w:rsidRPr="00CA3984">
        <w:rPr>
          <w:rFonts w:ascii="Arial" w:eastAsia="Arial" w:hAnsi="Arial" w:cs="Arial"/>
          <w:sz w:val="24"/>
          <w:szCs w:val="24"/>
        </w:rPr>
        <w:t>A presença de água no poço parece estar associada a tais zonas, principalmente em locais com diminuição local da resistividade</w:t>
      </w:r>
      <w:r w:rsidR="00C9633A">
        <w:rPr>
          <w:rFonts w:ascii="Arial" w:eastAsia="Arial" w:hAnsi="Arial" w:cs="Arial"/>
          <w:sz w:val="24"/>
          <w:szCs w:val="24"/>
        </w:rPr>
        <w:t>.</w:t>
      </w:r>
    </w:p>
    <w:p w14:paraId="6E413B1E" w14:textId="5FECFA49" w:rsidR="00E07BB3" w:rsidRPr="00CA3984" w:rsidRDefault="00703CF3" w:rsidP="00CA3984">
      <w:pPr>
        <w:jc w:val="center"/>
        <w:rPr>
          <w:rFonts w:ascii="Arial" w:hAnsi="Arial" w:cs="Arial"/>
          <w:b/>
          <w:szCs w:val="24"/>
        </w:rPr>
      </w:pPr>
      <w:r>
        <w:rPr>
          <w:rFonts w:ascii="Arial" w:hAnsi="Arial" w:cs="Arial"/>
          <w:b/>
          <w:noProof/>
          <w:szCs w:val="24"/>
        </w:rPr>
        <w:drawing>
          <wp:inline distT="0" distB="0" distL="0" distR="0" wp14:anchorId="214AAA5F" wp14:editId="633FB26B">
            <wp:extent cx="5180400" cy="3812400"/>
            <wp:effectExtent l="0" t="0" r="127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ura 7.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80400" cy="3812400"/>
                    </a:xfrm>
                    <a:prstGeom prst="rect">
                      <a:avLst/>
                    </a:prstGeom>
                  </pic:spPr>
                </pic:pic>
              </a:graphicData>
            </a:graphic>
          </wp:inline>
        </w:drawing>
      </w:r>
    </w:p>
    <w:p w14:paraId="5785E855" w14:textId="0C91F65F" w:rsidR="00E07BB3" w:rsidRPr="00CA3984" w:rsidRDefault="00E8653F" w:rsidP="00D41945">
      <w:pPr>
        <w:rPr>
          <w:rFonts w:ascii="Arial" w:hAnsi="Arial" w:cs="Arial"/>
          <w:b/>
          <w:szCs w:val="24"/>
        </w:rPr>
      </w:pPr>
      <w:r w:rsidRPr="00CA3984">
        <w:rPr>
          <w:rFonts w:ascii="Arial" w:hAnsi="Arial" w:cs="Arial"/>
          <w:b/>
          <w:szCs w:val="24"/>
        </w:rPr>
        <w:t xml:space="preserve">Figura 7 </w:t>
      </w:r>
      <w:r w:rsidR="003E5EE1">
        <w:rPr>
          <w:rFonts w:ascii="Arial" w:hAnsi="Arial" w:cs="Arial"/>
          <w:b/>
          <w:szCs w:val="24"/>
        </w:rPr>
        <w:t>–</w:t>
      </w:r>
      <w:r w:rsidRPr="00CA3984">
        <w:rPr>
          <w:rFonts w:ascii="Arial" w:hAnsi="Arial" w:cs="Arial"/>
          <w:szCs w:val="24"/>
        </w:rPr>
        <w:t xml:space="preserve"> </w:t>
      </w:r>
      <w:r w:rsidR="00480DAB">
        <w:rPr>
          <w:rFonts w:ascii="Arial" w:hAnsi="Arial" w:cs="Arial"/>
          <w:szCs w:val="24"/>
        </w:rPr>
        <w:t>P</w:t>
      </w:r>
      <w:r w:rsidRPr="00CA3984">
        <w:rPr>
          <w:rFonts w:ascii="Arial" w:hAnsi="Arial" w:cs="Arial"/>
          <w:szCs w:val="24"/>
        </w:rPr>
        <w:t xml:space="preserve">erfil geofísico do </w:t>
      </w:r>
      <w:r w:rsidR="00C9633A">
        <w:rPr>
          <w:rFonts w:ascii="Arial" w:hAnsi="Arial" w:cs="Arial"/>
          <w:szCs w:val="24"/>
        </w:rPr>
        <w:t>p</w:t>
      </w:r>
      <w:r w:rsidRPr="00CA3984">
        <w:rPr>
          <w:rFonts w:ascii="Arial" w:hAnsi="Arial" w:cs="Arial"/>
          <w:szCs w:val="24"/>
        </w:rPr>
        <w:t>oço 4.</w:t>
      </w:r>
    </w:p>
    <w:p w14:paraId="472ED73A" w14:textId="78106715" w:rsidR="00E07BB3" w:rsidRPr="00CA3984" w:rsidRDefault="00E8653F" w:rsidP="00D41945">
      <w:pPr>
        <w:rPr>
          <w:rFonts w:ascii="Arial" w:hAnsi="Arial" w:cs="Arial"/>
          <w:szCs w:val="24"/>
          <w:lang w:val="en-US"/>
        </w:rPr>
      </w:pPr>
      <w:r w:rsidRPr="00CA3984">
        <w:rPr>
          <w:rFonts w:ascii="Arial" w:hAnsi="Arial" w:cs="Arial"/>
          <w:b/>
          <w:szCs w:val="24"/>
          <w:lang w:val="en-US"/>
        </w:rPr>
        <w:t xml:space="preserve">Figure 7 </w:t>
      </w:r>
      <w:r w:rsidR="003E5EE1">
        <w:rPr>
          <w:rFonts w:ascii="Arial" w:hAnsi="Arial" w:cs="Arial"/>
          <w:b/>
          <w:szCs w:val="24"/>
          <w:lang w:val="en-US"/>
        </w:rPr>
        <w:t>–</w:t>
      </w:r>
      <w:r w:rsidRPr="00CA3984">
        <w:rPr>
          <w:rFonts w:ascii="Arial" w:hAnsi="Arial" w:cs="Arial"/>
          <w:szCs w:val="24"/>
          <w:lang w:val="en-US"/>
        </w:rPr>
        <w:t xml:space="preserve"> Well logging of the well 4.</w:t>
      </w:r>
    </w:p>
    <w:p w14:paraId="10D101F0" w14:textId="4233E9F7" w:rsidR="00860EFF" w:rsidRDefault="00860EFF">
      <w:pPr>
        <w:jc w:val="both"/>
        <w:rPr>
          <w:rFonts w:ascii="Arial" w:hAnsi="Arial" w:cs="Arial"/>
          <w:sz w:val="24"/>
          <w:szCs w:val="24"/>
          <w:lang w:val="en-US"/>
        </w:rPr>
      </w:pPr>
    </w:p>
    <w:p w14:paraId="5CA3754E" w14:textId="77777777" w:rsidR="00860EFF" w:rsidRPr="00CA3984" w:rsidRDefault="00860EFF">
      <w:pPr>
        <w:jc w:val="both"/>
        <w:rPr>
          <w:rFonts w:ascii="Arial" w:hAnsi="Arial" w:cs="Arial"/>
          <w:sz w:val="24"/>
          <w:szCs w:val="24"/>
          <w:lang w:val="en-US"/>
        </w:rPr>
      </w:pPr>
    </w:p>
    <w:p w14:paraId="03D5E648" w14:textId="36946C96" w:rsidR="00E07BB3" w:rsidRDefault="00E8653F">
      <w:pPr>
        <w:spacing w:line="480" w:lineRule="auto"/>
        <w:jc w:val="both"/>
        <w:rPr>
          <w:rFonts w:ascii="Arial" w:eastAsia="Arial" w:hAnsi="Arial" w:cs="Arial"/>
          <w:sz w:val="24"/>
          <w:szCs w:val="24"/>
        </w:rPr>
      </w:pPr>
      <w:r w:rsidRPr="00CA3984">
        <w:rPr>
          <w:rFonts w:ascii="Arial" w:hAnsi="Arial" w:cs="Arial"/>
          <w:sz w:val="24"/>
          <w:szCs w:val="24"/>
          <w:lang w:val="en-US"/>
        </w:rPr>
        <w:t xml:space="preserve"> </w:t>
      </w:r>
      <w:r w:rsidRPr="00CA3984">
        <w:rPr>
          <w:rFonts w:ascii="Arial" w:eastAsia="Arial" w:hAnsi="Arial" w:cs="Arial"/>
          <w:sz w:val="24"/>
          <w:szCs w:val="24"/>
          <w:lang w:val="en-US"/>
        </w:rPr>
        <w:tab/>
      </w:r>
      <w:r w:rsidRPr="00CA3984">
        <w:rPr>
          <w:rFonts w:ascii="Arial" w:eastAsia="Arial" w:hAnsi="Arial" w:cs="Arial"/>
          <w:sz w:val="24"/>
          <w:szCs w:val="24"/>
        </w:rPr>
        <w:t xml:space="preserve">A análise do poço 5 abrange duas litologias compactas (hematita e itabirito) e uma litologia carbonática branda que é predominante (60%). O perfil de </w:t>
      </w:r>
      <w:r w:rsidR="00480DAB">
        <w:rPr>
          <w:rFonts w:ascii="Arial" w:eastAsia="Arial" w:hAnsi="Arial" w:cs="Arial"/>
          <w:sz w:val="24"/>
          <w:szCs w:val="24"/>
        </w:rPr>
        <w:t xml:space="preserve">raios </w:t>
      </w:r>
      <w:r w:rsidRPr="00CA3984">
        <w:rPr>
          <w:rFonts w:ascii="Arial" w:eastAsia="Arial" w:hAnsi="Arial" w:cs="Arial"/>
          <w:sz w:val="24"/>
          <w:szCs w:val="24"/>
        </w:rPr>
        <w:t xml:space="preserve">gama natural mostra picos significativos até a profundidade de 78 m (intervalo onde estão </w:t>
      </w:r>
      <w:r w:rsidRPr="00CA3984">
        <w:rPr>
          <w:rFonts w:ascii="Arial" w:eastAsia="Arial" w:hAnsi="Arial" w:cs="Arial"/>
          <w:sz w:val="24"/>
          <w:szCs w:val="24"/>
        </w:rPr>
        <w:lastRenderedPageBreak/>
        <w:t>as litologias compactas) e depois se mantém em torno de 15 API</w:t>
      </w:r>
      <w:r w:rsidR="00480DAB" w:rsidRPr="00CA3984">
        <w:rPr>
          <w:rFonts w:ascii="Arial" w:eastAsia="Arial" w:hAnsi="Arial" w:cs="Arial"/>
          <w:sz w:val="24"/>
          <w:szCs w:val="24"/>
        </w:rPr>
        <w:t xml:space="preserve"> (Figura 8)</w:t>
      </w:r>
      <w:r w:rsidRPr="00CA3984">
        <w:rPr>
          <w:rFonts w:ascii="Arial" w:eastAsia="Arial" w:hAnsi="Arial" w:cs="Arial"/>
          <w:sz w:val="24"/>
          <w:szCs w:val="24"/>
        </w:rPr>
        <w:t xml:space="preserve">. É interessante notar que um dos maiores picos se dá próximo ao contato entre a hematita compacta e o itabirito compacto (Figura 8). Os valores de </w:t>
      </w:r>
      <w:r w:rsidR="00480DAB">
        <w:rPr>
          <w:rFonts w:ascii="Arial" w:eastAsia="Arial" w:hAnsi="Arial" w:cs="Arial"/>
          <w:sz w:val="24"/>
          <w:szCs w:val="24"/>
        </w:rPr>
        <w:t>vagarosidade</w:t>
      </w:r>
      <w:r w:rsidRPr="00CA3984">
        <w:rPr>
          <w:rFonts w:ascii="Arial" w:eastAsia="Arial" w:hAnsi="Arial" w:cs="Arial"/>
          <w:sz w:val="24"/>
          <w:szCs w:val="24"/>
        </w:rPr>
        <w:t xml:space="preserve">, por sua vez, mostram-se mais homogêneos (cerca de 200 µs/ft) nessa primeira porção do poço e a partir dos 105 m de profundidade, próximo ao contato do itabirito compacto com o carbonático, inicia seu comportamento irregular e serrilhado (variação de 10 a 320 µs/ft). Já a resistividade apresenta valores mais baixos nas litologias compactas embora exista uma redução de valor no itabirito dolomítico brando no intervalo entre 145-180 m. No geral, a resistividade </w:t>
      </w:r>
      <w:r w:rsidR="0041118F" w:rsidRPr="00C9633A">
        <w:rPr>
          <w:rFonts w:ascii="Arial" w:eastAsia="Arial" w:hAnsi="Arial" w:cs="Arial"/>
          <w:sz w:val="24"/>
          <w:szCs w:val="24"/>
        </w:rPr>
        <w:t>no Normal Curto</w:t>
      </w:r>
      <w:r w:rsidR="0041118F" w:rsidRPr="00CA3984">
        <w:rPr>
          <w:rFonts w:ascii="Arial" w:eastAsia="Arial" w:hAnsi="Arial" w:cs="Arial"/>
          <w:sz w:val="24"/>
          <w:szCs w:val="24"/>
        </w:rPr>
        <w:t xml:space="preserve"> </w:t>
      </w:r>
      <w:r w:rsidRPr="00CA3984">
        <w:rPr>
          <w:rFonts w:ascii="Arial" w:eastAsia="Arial" w:hAnsi="Arial" w:cs="Arial"/>
          <w:sz w:val="24"/>
          <w:szCs w:val="24"/>
        </w:rPr>
        <w:t xml:space="preserve">varia entre 100-600 ohm.m e </w:t>
      </w:r>
      <w:r w:rsidR="0041118F" w:rsidRPr="000529A5">
        <w:rPr>
          <w:rFonts w:ascii="Arial" w:eastAsia="Arial" w:hAnsi="Arial" w:cs="Arial"/>
          <w:sz w:val="24"/>
          <w:szCs w:val="24"/>
        </w:rPr>
        <w:t xml:space="preserve">no Normal </w:t>
      </w:r>
      <w:r w:rsidR="0041118F">
        <w:rPr>
          <w:rFonts w:ascii="Arial" w:eastAsia="Arial" w:hAnsi="Arial" w:cs="Arial"/>
          <w:sz w:val="24"/>
          <w:szCs w:val="24"/>
        </w:rPr>
        <w:t>Long</w:t>
      </w:r>
      <w:r w:rsidR="0041118F" w:rsidRPr="000529A5">
        <w:rPr>
          <w:rFonts w:ascii="Arial" w:eastAsia="Arial" w:hAnsi="Arial" w:cs="Arial"/>
          <w:sz w:val="24"/>
          <w:szCs w:val="24"/>
        </w:rPr>
        <w:t>o</w:t>
      </w:r>
      <w:r w:rsidR="0041118F" w:rsidRPr="00CA3984">
        <w:rPr>
          <w:rFonts w:ascii="Arial" w:eastAsia="Arial" w:hAnsi="Arial" w:cs="Arial"/>
          <w:sz w:val="24"/>
          <w:szCs w:val="24"/>
        </w:rPr>
        <w:t xml:space="preserve"> </w:t>
      </w:r>
      <w:r w:rsidRPr="00CA3984">
        <w:rPr>
          <w:rFonts w:ascii="Arial" w:eastAsia="Arial" w:hAnsi="Arial" w:cs="Arial"/>
          <w:sz w:val="24"/>
          <w:szCs w:val="24"/>
        </w:rPr>
        <w:t>de 300-1200 ohm.m). O SP apresenta-se positivo em todo poço, aumentando progressivamente com a profundidade e com uma média de 90 mV.</w:t>
      </w:r>
      <w:r w:rsidRPr="00CA3984">
        <w:rPr>
          <w:rFonts w:ascii="Arial" w:eastAsia="Arial" w:hAnsi="Arial" w:cs="Arial"/>
          <w:color w:val="FF0000"/>
          <w:sz w:val="24"/>
          <w:szCs w:val="24"/>
        </w:rPr>
        <w:t xml:space="preserve"> </w:t>
      </w:r>
      <w:r w:rsidRPr="00CA3984">
        <w:rPr>
          <w:rFonts w:ascii="Arial" w:eastAsia="Arial" w:hAnsi="Arial" w:cs="Arial"/>
          <w:sz w:val="24"/>
          <w:szCs w:val="24"/>
        </w:rPr>
        <w:t>O poço 5 apresenta vazão específica baixa, a menor entre os poços deste estudo: 0</w:t>
      </w:r>
      <w:r w:rsidR="00C9633A">
        <w:rPr>
          <w:rFonts w:ascii="Arial" w:eastAsia="Arial" w:hAnsi="Arial" w:cs="Arial"/>
          <w:sz w:val="24"/>
          <w:szCs w:val="24"/>
        </w:rPr>
        <w:t>,</w:t>
      </w:r>
      <w:r w:rsidRPr="00CA3984">
        <w:rPr>
          <w:rFonts w:ascii="Arial" w:eastAsia="Arial" w:hAnsi="Arial" w:cs="Arial"/>
          <w:sz w:val="24"/>
          <w:szCs w:val="24"/>
        </w:rPr>
        <w:t>63 m³/h.m. Embora alguns intervalos do poço apresentem um conjunto de respostas que poderiam ser positivas para água (baixa argilosidade, baixa resistividade e alt</w:t>
      </w:r>
      <w:r w:rsidR="0041118F">
        <w:rPr>
          <w:rFonts w:ascii="Arial" w:eastAsia="Arial" w:hAnsi="Arial" w:cs="Arial"/>
          <w:sz w:val="24"/>
          <w:szCs w:val="24"/>
        </w:rPr>
        <w:t>a</w:t>
      </w:r>
      <w:r w:rsidRPr="00CA3984">
        <w:rPr>
          <w:rFonts w:ascii="Arial" w:eastAsia="Arial" w:hAnsi="Arial" w:cs="Arial"/>
          <w:sz w:val="24"/>
          <w:szCs w:val="24"/>
        </w:rPr>
        <w:t xml:space="preserve"> </w:t>
      </w:r>
      <w:r w:rsidR="0041118F">
        <w:rPr>
          <w:rFonts w:ascii="Arial" w:eastAsia="Arial" w:hAnsi="Arial" w:cs="Arial"/>
          <w:sz w:val="24"/>
          <w:szCs w:val="24"/>
        </w:rPr>
        <w:t>vagarosidade</w:t>
      </w:r>
      <w:r w:rsidRPr="00CA3984">
        <w:rPr>
          <w:rFonts w:ascii="Arial" w:eastAsia="Arial" w:hAnsi="Arial" w:cs="Arial"/>
          <w:sz w:val="24"/>
          <w:szCs w:val="24"/>
        </w:rPr>
        <w:t>), o perfil SP mantém um comportamento bem estável</w:t>
      </w:r>
      <w:r w:rsidR="0041118F">
        <w:rPr>
          <w:rFonts w:ascii="Arial" w:eastAsia="Arial" w:hAnsi="Arial" w:cs="Arial"/>
          <w:sz w:val="24"/>
          <w:szCs w:val="24"/>
        </w:rPr>
        <w:t>,</w:t>
      </w:r>
      <w:r w:rsidRPr="00CA3984">
        <w:rPr>
          <w:rFonts w:ascii="Arial" w:eastAsia="Arial" w:hAnsi="Arial" w:cs="Arial"/>
          <w:sz w:val="24"/>
          <w:szCs w:val="24"/>
        </w:rPr>
        <w:t xml:space="preserve"> sugerindo pouca permeabilidade das camadas. Assim, a baixa vazão específica desse poço pode ser devido à menor quantidade de água na litologia carbonática quando comparada às hematitas e itabiritos. Além disso, o intervalo de hematita, que poderia ser favorável para água, é compacto, sem nenhum indício de fraturamento, seco e com altos valores de </w:t>
      </w:r>
      <w:r w:rsidR="0041118F">
        <w:rPr>
          <w:rFonts w:ascii="Arial" w:eastAsia="Arial" w:hAnsi="Arial" w:cs="Arial"/>
          <w:sz w:val="24"/>
          <w:szCs w:val="24"/>
        </w:rPr>
        <w:t xml:space="preserve">raios </w:t>
      </w:r>
      <w:r w:rsidRPr="00CA3984">
        <w:rPr>
          <w:rFonts w:ascii="Arial" w:eastAsia="Arial" w:hAnsi="Arial" w:cs="Arial"/>
          <w:sz w:val="24"/>
          <w:szCs w:val="24"/>
        </w:rPr>
        <w:t>gama.</w:t>
      </w:r>
    </w:p>
    <w:p w14:paraId="3FF000FE" w14:textId="77777777" w:rsidR="00CA3984" w:rsidRPr="00CA3984" w:rsidRDefault="00CA3984" w:rsidP="00107DE7">
      <w:pPr>
        <w:jc w:val="both"/>
        <w:rPr>
          <w:rFonts w:ascii="Arial" w:eastAsia="Arial" w:hAnsi="Arial" w:cs="Arial"/>
          <w:sz w:val="24"/>
          <w:szCs w:val="24"/>
        </w:rPr>
      </w:pPr>
    </w:p>
    <w:p w14:paraId="7562E9E2" w14:textId="7A7E4FC0" w:rsidR="00E07BB3" w:rsidRPr="00CA3984" w:rsidRDefault="002E0315" w:rsidP="00CA3984">
      <w:pPr>
        <w:jc w:val="center"/>
        <w:rPr>
          <w:rFonts w:ascii="Arial" w:hAnsi="Arial" w:cs="Arial"/>
          <w:b/>
          <w:szCs w:val="24"/>
        </w:rPr>
      </w:pPr>
      <w:r>
        <w:rPr>
          <w:rFonts w:ascii="Arial" w:hAnsi="Arial" w:cs="Arial"/>
          <w:b/>
          <w:noProof/>
          <w:szCs w:val="24"/>
        </w:rPr>
        <w:lastRenderedPageBreak/>
        <w:drawing>
          <wp:inline distT="0" distB="0" distL="0" distR="0" wp14:anchorId="5AC68145" wp14:editId="387DD3D4">
            <wp:extent cx="5187600" cy="2930400"/>
            <wp:effectExtent l="0" t="0" r="0" b="381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ura 8.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87600" cy="2930400"/>
                    </a:xfrm>
                    <a:prstGeom prst="rect">
                      <a:avLst/>
                    </a:prstGeom>
                  </pic:spPr>
                </pic:pic>
              </a:graphicData>
            </a:graphic>
          </wp:inline>
        </w:drawing>
      </w:r>
    </w:p>
    <w:p w14:paraId="6EB38C98" w14:textId="0119A273" w:rsidR="00E07BB3" w:rsidRPr="00CA3984" w:rsidRDefault="00E8653F" w:rsidP="00D41945">
      <w:pPr>
        <w:rPr>
          <w:rFonts w:ascii="Arial" w:hAnsi="Arial" w:cs="Arial"/>
          <w:b/>
          <w:szCs w:val="24"/>
        </w:rPr>
      </w:pPr>
      <w:r w:rsidRPr="00CA3984">
        <w:rPr>
          <w:rFonts w:ascii="Arial" w:hAnsi="Arial" w:cs="Arial"/>
          <w:b/>
          <w:szCs w:val="24"/>
        </w:rPr>
        <w:t xml:space="preserve">Figura 8 </w:t>
      </w:r>
      <w:r w:rsidR="003E5EE1">
        <w:rPr>
          <w:rFonts w:ascii="Arial" w:hAnsi="Arial" w:cs="Arial"/>
          <w:b/>
          <w:szCs w:val="24"/>
        </w:rPr>
        <w:t>–</w:t>
      </w:r>
      <w:r w:rsidRPr="00CA3984">
        <w:rPr>
          <w:rFonts w:ascii="Arial" w:hAnsi="Arial" w:cs="Arial"/>
          <w:szCs w:val="24"/>
        </w:rPr>
        <w:t xml:space="preserve"> </w:t>
      </w:r>
      <w:r w:rsidR="0041118F">
        <w:rPr>
          <w:rFonts w:ascii="Arial" w:hAnsi="Arial" w:cs="Arial"/>
          <w:szCs w:val="24"/>
        </w:rPr>
        <w:t>P</w:t>
      </w:r>
      <w:r w:rsidRPr="00CA3984">
        <w:rPr>
          <w:rFonts w:ascii="Arial" w:hAnsi="Arial" w:cs="Arial"/>
          <w:szCs w:val="24"/>
        </w:rPr>
        <w:t xml:space="preserve">erfil geofísico do </w:t>
      </w:r>
      <w:r w:rsidR="00C9633A">
        <w:rPr>
          <w:rFonts w:ascii="Arial" w:hAnsi="Arial" w:cs="Arial"/>
          <w:szCs w:val="24"/>
        </w:rPr>
        <w:t>p</w:t>
      </w:r>
      <w:r w:rsidRPr="00CA3984">
        <w:rPr>
          <w:rFonts w:ascii="Arial" w:hAnsi="Arial" w:cs="Arial"/>
          <w:szCs w:val="24"/>
        </w:rPr>
        <w:t>oço 5.</w:t>
      </w:r>
    </w:p>
    <w:p w14:paraId="7925890B" w14:textId="55598456" w:rsidR="00E07BB3" w:rsidRDefault="00E8653F" w:rsidP="00D41945">
      <w:pPr>
        <w:rPr>
          <w:rFonts w:ascii="Arial" w:hAnsi="Arial" w:cs="Arial"/>
          <w:szCs w:val="24"/>
          <w:lang w:val="en-US"/>
        </w:rPr>
      </w:pPr>
      <w:r w:rsidRPr="00CA3984">
        <w:rPr>
          <w:rFonts w:ascii="Arial" w:hAnsi="Arial" w:cs="Arial"/>
          <w:b/>
          <w:szCs w:val="24"/>
          <w:lang w:val="en-US"/>
        </w:rPr>
        <w:t xml:space="preserve">Figure 8 </w:t>
      </w:r>
      <w:r w:rsidR="003E5EE1">
        <w:rPr>
          <w:rFonts w:ascii="Arial" w:hAnsi="Arial" w:cs="Arial"/>
          <w:b/>
          <w:szCs w:val="24"/>
          <w:lang w:val="en-US"/>
        </w:rPr>
        <w:t>–</w:t>
      </w:r>
      <w:r w:rsidRPr="00CA3984">
        <w:rPr>
          <w:rFonts w:ascii="Arial" w:hAnsi="Arial" w:cs="Arial"/>
          <w:szCs w:val="24"/>
          <w:lang w:val="en-US"/>
        </w:rPr>
        <w:t xml:space="preserve"> Well logging of the well 5.</w:t>
      </w:r>
    </w:p>
    <w:p w14:paraId="6636AE3B" w14:textId="77777777" w:rsidR="00860EFF" w:rsidRDefault="00860EFF" w:rsidP="00D41945">
      <w:pPr>
        <w:rPr>
          <w:rFonts w:ascii="Arial" w:hAnsi="Arial" w:cs="Arial"/>
          <w:szCs w:val="24"/>
          <w:lang w:val="en-US"/>
        </w:rPr>
      </w:pPr>
    </w:p>
    <w:p w14:paraId="249EB896" w14:textId="77777777" w:rsidR="00C9633A" w:rsidRPr="00CA3984" w:rsidRDefault="00C9633A" w:rsidP="00D41945">
      <w:pPr>
        <w:rPr>
          <w:rFonts w:ascii="Arial" w:eastAsia="Arial" w:hAnsi="Arial" w:cs="Arial"/>
          <w:b/>
          <w:smallCaps/>
          <w:szCs w:val="24"/>
          <w:lang w:val="en-US"/>
        </w:rPr>
      </w:pPr>
    </w:p>
    <w:p w14:paraId="30076581" w14:textId="73AB26E8" w:rsidR="00E07BB3" w:rsidRPr="00CA3984" w:rsidRDefault="00E8653F">
      <w:pPr>
        <w:spacing w:line="480" w:lineRule="auto"/>
        <w:ind w:firstLine="708"/>
        <w:jc w:val="both"/>
        <w:rPr>
          <w:rFonts w:ascii="Arial" w:hAnsi="Arial" w:cs="Arial"/>
          <w:sz w:val="24"/>
          <w:szCs w:val="24"/>
        </w:rPr>
      </w:pPr>
      <w:r w:rsidRPr="00CA3984">
        <w:rPr>
          <w:rFonts w:ascii="Arial" w:eastAsia="Arial" w:hAnsi="Arial" w:cs="Arial"/>
          <w:sz w:val="24"/>
          <w:szCs w:val="24"/>
        </w:rPr>
        <w:t>O poço 6 possui litologias variadas com predomínio das do tipo argiloso (</w:t>
      </w:r>
      <w:r w:rsidR="00C9633A">
        <w:rPr>
          <w:rFonts w:ascii="Arial" w:eastAsia="Arial" w:hAnsi="Arial" w:cs="Arial"/>
          <w:sz w:val="24"/>
          <w:szCs w:val="24"/>
        </w:rPr>
        <w:t>67</w:t>
      </w:r>
      <w:r w:rsidRPr="00CA3984">
        <w:rPr>
          <w:rFonts w:ascii="Arial" w:eastAsia="Arial" w:hAnsi="Arial" w:cs="Arial"/>
          <w:sz w:val="24"/>
          <w:szCs w:val="24"/>
        </w:rPr>
        <w:t>%) e vazão específica baixa (1</w:t>
      </w:r>
      <w:r w:rsidR="00C9633A">
        <w:rPr>
          <w:rFonts w:ascii="Arial" w:eastAsia="Arial" w:hAnsi="Arial" w:cs="Arial"/>
          <w:sz w:val="24"/>
          <w:szCs w:val="24"/>
        </w:rPr>
        <w:t>,</w:t>
      </w:r>
      <w:r w:rsidRPr="00CA3984">
        <w:rPr>
          <w:rFonts w:ascii="Arial" w:eastAsia="Arial" w:hAnsi="Arial" w:cs="Arial"/>
          <w:sz w:val="24"/>
          <w:szCs w:val="24"/>
        </w:rPr>
        <w:t xml:space="preserve">52 m³/h.m). O perfil gama apresenta valores </w:t>
      </w:r>
      <w:r w:rsidR="0041118F">
        <w:rPr>
          <w:rFonts w:ascii="Arial" w:eastAsia="Arial" w:hAnsi="Arial" w:cs="Arial"/>
          <w:sz w:val="24"/>
          <w:szCs w:val="24"/>
        </w:rPr>
        <w:t>mais elevados do</w:t>
      </w:r>
      <w:r w:rsidR="0041118F" w:rsidRPr="00CA3984">
        <w:rPr>
          <w:rFonts w:ascii="Arial" w:eastAsia="Arial" w:hAnsi="Arial" w:cs="Arial"/>
          <w:sz w:val="24"/>
          <w:szCs w:val="24"/>
        </w:rPr>
        <w:t xml:space="preserve"> </w:t>
      </w:r>
      <w:r w:rsidRPr="00CA3984">
        <w:rPr>
          <w:rFonts w:ascii="Arial" w:eastAsia="Arial" w:hAnsi="Arial" w:cs="Arial"/>
          <w:sz w:val="24"/>
          <w:szCs w:val="24"/>
        </w:rPr>
        <w:t xml:space="preserve">que nos outros poços. Analogamente ao </w:t>
      </w:r>
      <w:r w:rsidR="0041118F">
        <w:rPr>
          <w:rFonts w:ascii="Arial" w:eastAsia="Arial" w:hAnsi="Arial" w:cs="Arial"/>
          <w:sz w:val="24"/>
          <w:szCs w:val="24"/>
        </w:rPr>
        <w:t xml:space="preserve">perfil de raios </w:t>
      </w:r>
      <w:r w:rsidRPr="00CA3984">
        <w:rPr>
          <w:rFonts w:ascii="Arial" w:eastAsia="Arial" w:hAnsi="Arial" w:cs="Arial"/>
          <w:sz w:val="24"/>
          <w:szCs w:val="24"/>
        </w:rPr>
        <w:t xml:space="preserve">gama, os valores </w:t>
      </w:r>
      <w:r w:rsidR="0041118F">
        <w:rPr>
          <w:rFonts w:ascii="Arial" w:eastAsia="Arial" w:hAnsi="Arial" w:cs="Arial"/>
          <w:sz w:val="24"/>
          <w:szCs w:val="24"/>
        </w:rPr>
        <w:t>do perfil</w:t>
      </w:r>
      <w:r w:rsidR="0041118F" w:rsidRPr="00CA3984">
        <w:rPr>
          <w:rFonts w:ascii="Arial" w:eastAsia="Arial" w:hAnsi="Arial" w:cs="Arial"/>
          <w:sz w:val="24"/>
          <w:szCs w:val="24"/>
        </w:rPr>
        <w:t xml:space="preserve"> </w:t>
      </w:r>
      <w:r w:rsidRPr="00CA3984">
        <w:rPr>
          <w:rFonts w:ascii="Arial" w:eastAsia="Arial" w:hAnsi="Arial" w:cs="Arial"/>
          <w:sz w:val="24"/>
          <w:szCs w:val="24"/>
        </w:rPr>
        <w:t xml:space="preserve">sônico possuem uma extensa variação (0 a </w:t>
      </w:r>
      <w:r w:rsidR="0041118F">
        <w:rPr>
          <w:rFonts w:ascii="Arial" w:eastAsia="Arial" w:hAnsi="Arial" w:cs="Arial"/>
          <w:sz w:val="24"/>
          <w:szCs w:val="24"/>
        </w:rPr>
        <w:t>450</w:t>
      </w:r>
      <w:r w:rsidR="0041118F" w:rsidRPr="00CA3984">
        <w:rPr>
          <w:rFonts w:ascii="Arial" w:eastAsia="Arial" w:hAnsi="Arial" w:cs="Arial"/>
          <w:sz w:val="24"/>
          <w:szCs w:val="24"/>
        </w:rPr>
        <w:t xml:space="preserve"> </w:t>
      </w:r>
      <w:r w:rsidRPr="00CA3984">
        <w:rPr>
          <w:rFonts w:ascii="Arial" w:eastAsia="Arial" w:hAnsi="Arial" w:cs="Arial"/>
          <w:sz w:val="24"/>
          <w:szCs w:val="24"/>
        </w:rPr>
        <w:t>µs/ft)</w:t>
      </w:r>
      <w:r w:rsidR="00D111A1">
        <w:rPr>
          <w:rFonts w:ascii="Arial" w:eastAsia="Arial" w:hAnsi="Arial" w:cs="Arial"/>
          <w:sz w:val="24"/>
          <w:szCs w:val="24"/>
        </w:rPr>
        <w:t>.</w:t>
      </w:r>
      <w:r w:rsidRPr="00CA3984">
        <w:rPr>
          <w:rFonts w:ascii="Arial" w:eastAsia="Arial" w:hAnsi="Arial" w:cs="Arial"/>
          <w:sz w:val="24"/>
          <w:szCs w:val="24"/>
        </w:rPr>
        <w:t xml:space="preserve"> A resistividade mostra valores mais baixos (média: </w:t>
      </w:r>
      <w:r w:rsidR="0041118F">
        <w:rPr>
          <w:rFonts w:ascii="Arial" w:eastAsia="Arial" w:hAnsi="Arial" w:cs="Arial"/>
          <w:i/>
          <w:sz w:val="24"/>
          <w:szCs w:val="24"/>
        </w:rPr>
        <w:t>NC</w:t>
      </w:r>
      <w:r w:rsidRPr="00CA3984">
        <w:rPr>
          <w:rFonts w:ascii="Arial" w:eastAsia="Arial" w:hAnsi="Arial" w:cs="Arial"/>
          <w:sz w:val="24"/>
          <w:szCs w:val="24"/>
        </w:rPr>
        <w:t>=</w:t>
      </w:r>
      <w:r w:rsidR="0041118F">
        <w:rPr>
          <w:rFonts w:ascii="Arial" w:eastAsia="Arial" w:hAnsi="Arial" w:cs="Arial"/>
          <w:sz w:val="24"/>
          <w:szCs w:val="24"/>
        </w:rPr>
        <w:t>750</w:t>
      </w:r>
      <w:r w:rsidR="0041118F" w:rsidRPr="00CA3984">
        <w:rPr>
          <w:rFonts w:ascii="Arial" w:eastAsia="Arial" w:hAnsi="Arial" w:cs="Arial"/>
          <w:sz w:val="24"/>
          <w:szCs w:val="24"/>
        </w:rPr>
        <w:t xml:space="preserve"> </w:t>
      </w:r>
      <w:r w:rsidRPr="00CA3984">
        <w:rPr>
          <w:rFonts w:ascii="Arial" w:eastAsia="Arial" w:hAnsi="Arial" w:cs="Arial"/>
          <w:sz w:val="24"/>
          <w:szCs w:val="24"/>
        </w:rPr>
        <w:t xml:space="preserve">ohm.m, </w:t>
      </w:r>
      <w:r w:rsidR="0041118F">
        <w:rPr>
          <w:rFonts w:ascii="Arial" w:eastAsia="Arial" w:hAnsi="Arial" w:cs="Arial"/>
          <w:i/>
          <w:sz w:val="24"/>
          <w:szCs w:val="24"/>
        </w:rPr>
        <w:t>NL</w:t>
      </w:r>
      <w:r w:rsidRPr="00CA3984">
        <w:rPr>
          <w:rFonts w:ascii="Arial" w:eastAsia="Arial" w:hAnsi="Arial" w:cs="Arial"/>
          <w:sz w:val="24"/>
          <w:szCs w:val="24"/>
        </w:rPr>
        <w:t>=</w:t>
      </w:r>
      <w:r w:rsidR="0041118F">
        <w:rPr>
          <w:rFonts w:ascii="Arial" w:eastAsia="Arial" w:hAnsi="Arial" w:cs="Arial"/>
          <w:sz w:val="24"/>
          <w:szCs w:val="24"/>
        </w:rPr>
        <w:t>1600</w:t>
      </w:r>
      <w:r w:rsidR="0041118F" w:rsidRPr="00CA3984">
        <w:rPr>
          <w:rFonts w:ascii="Arial" w:eastAsia="Arial" w:hAnsi="Arial" w:cs="Arial"/>
          <w:sz w:val="24"/>
          <w:szCs w:val="24"/>
        </w:rPr>
        <w:t xml:space="preserve"> </w:t>
      </w:r>
      <w:r w:rsidRPr="00CA3984">
        <w:rPr>
          <w:rFonts w:ascii="Arial" w:eastAsia="Arial" w:hAnsi="Arial" w:cs="Arial"/>
          <w:sz w:val="24"/>
          <w:szCs w:val="24"/>
        </w:rPr>
        <w:t>ohm.m) principalmente nas porções mais superficiais do poço (até 105 m). Já a ferramenta SP possui valores negativos (-1100 a -600</w:t>
      </w:r>
      <w:r w:rsidR="00842E93">
        <w:rPr>
          <w:rFonts w:ascii="Arial" w:eastAsia="Arial" w:hAnsi="Arial" w:cs="Arial"/>
          <w:sz w:val="24"/>
          <w:szCs w:val="24"/>
        </w:rPr>
        <w:t>mV) em todo o poço, exceto por alguns picos muito positivos (</w:t>
      </w:r>
      <w:r w:rsidRPr="00CA3984">
        <w:rPr>
          <w:rFonts w:ascii="Arial" w:eastAsia="Arial" w:hAnsi="Arial" w:cs="Arial"/>
          <w:sz w:val="24"/>
          <w:szCs w:val="24"/>
        </w:rPr>
        <w:t>111 m, 259 m, 264 m e 283 m)</w:t>
      </w:r>
      <w:r w:rsidR="0041118F">
        <w:rPr>
          <w:rFonts w:ascii="Arial" w:eastAsia="Arial" w:hAnsi="Arial" w:cs="Arial"/>
          <w:sz w:val="24"/>
          <w:szCs w:val="24"/>
        </w:rPr>
        <w:t>.</w:t>
      </w:r>
      <w:r w:rsidRPr="00CA3984">
        <w:rPr>
          <w:rFonts w:ascii="Arial" w:eastAsia="Arial" w:hAnsi="Arial" w:cs="Arial"/>
          <w:sz w:val="24"/>
          <w:szCs w:val="24"/>
        </w:rPr>
        <w:t xml:space="preserve"> </w:t>
      </w:r>
      <w:r w:rsidR="0041118F">
        <w:rPr>
          <w:rFonts w:ascii="Arial" w:eastAsia="Arial" w:hAnsi="Arial" w:cs="Arial"/>
          <w:sz w:val="24"/>
          <w:szCs w:val="24"/>
        </w:rPr>
        <w:t xml:space="preserve">São </w:t>
      </w:r>
      <w:r w:rsidRPr="00CA3984">
        <w:rPr>
          <w:rFonts w:ascii="Arial" w:eastAsia="Arial" w:hAnsi="Arial" w:cs="Arial"/>
          <w:sz w:val="24"/>
          <w:szCs w:val="24"/>
        </w:rPr>
        <w:t>áreas de rochas mais oxidadas nas quais a salinidade da lama é maior que a da água da formação. Tratam-se de regiões possivelmente mais fraturadas e com maior potencial para água (Figura 9). Apesar destas áreas potenciais, a baixa vazão específica do poço provavelmente relaciona-se à predominância de litologia argilosa.</w:t>
      </w:r>
    </w:p>
    <w:p w14:paraId="26CDDF1B" w14:textId="04FF7337" w:rsidR="00E07BB3" w:rsidRPr="00CA3984" w:rsidRDefault="00842E93" w:rsidP="00CA3984">
      <w:pPr>
        <w:jc w:val="center"/>
        <w:rPr>
          <w:rFonts w:ascii="Arial" w:hAnsi="Arial" w:cs="Arial"/>
          <w:b/>
          <w:szCs w:val="24"/>
        </w:rPr>
      </w:pPr>
      <w:r>
        <w:rPr>
          <w:rFonts w:ascii="Arial" w:hAnsi="Arial" w:cs="Arial"/>
          <w:b/>
          <w:noProof/>
          <w:szCs w:val="24"/>
        </w:rPr>
        <w:lastRenderedPageBreak/>
        <w:drawing>
          <wp:inline distT="0" distB="0" distL="0" distR="0" wp14:anchorId="56F3AF64" wp14:editId="454C5DC2">
            <wp:extent cx="5187600" cy="3056400"/>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ura 9.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87600" cy="3056400"/>
                    </a:xfrm>
                    <a:prstGeom prst="rect">
                      <a:avLst/>
                    </a:prstGeom>
                  </pic:spPr>
                </pic:pic>
              </a:graphicData>
            </a:graphic>
          </wp:inline>
        </w:drawing>
      </w:r>
    </w:p>
    <w:p w14:paraId="42F4CF19" w14:textId="35D37E0C" w:rsidR="00E07BB3" w:rsidRPr="003E5EE1" w:rsidRDefault="00E8653F" w:rsidP="00D41945">
      <w:pPr>
        <w:rPr>
          <w:rFonts w:ascii="Arial" w:hAnsi="Arial" w:cs="Arial"/>
          <w:szCs w:val="24"/>
        </w:rPr>
      </w:pPr>
      <w:r w:rsidRPr="00CA3984">
        <w:rPr>
          <w:rFonts w:ascii="Arial" w:hAnsi="Arial" w:cs="Arial"/>
          <w:b/>
          <w:szCs w:val="24"/>
        </w:rPr>
        <w:t xml:space="preserve">Figura 9 </w:t>
      </w:r>
      <w:r w:rsidR="003E5EE1">
        <w:rPr>
          <w:rFonts w:ascii="Arial" w:hAnsi="Arial" w:cs="Arial"/>
          <w:b/>
          <w:szCs w:val="24"/>
        </w:rPr>
        <w:t>–</w:t>
      </w:r>
      <w:r w:rsidRPr="00CA3984">
        <w:rPr>
          <w:rFonts w:ascii="Arial" w:hAnsi="Arial" w:cs="Arial"/>
          <w:szCs w:val="24"/>
        </w:rPr>
        <w:t xml:space="preserve"> </w:t>
      </w:r>
      <w:r w:rsidR="001D3AC9">
        <w:rPr>
          <w:rFonts w:ascii="Arial" w:hAnsi="Arial" w:cs="Arial"/>
          <w:szCs w:val="24"/>
        </w:rPr>
        <w:t>P</w:t>
      </w:r>
      <w:r w:rsidRPr="00CA3984">
        <w:rPr>
          <w:rFonts w:ascii="Arial" w:hAnsi="Arial" w:cs="Arial"/>
          <w:szCs w:val="24"/>
        </w:rPr>
        <w:t xml:space="preserve">erfil geofísico do </w:t>
      </w:r>
      <w:r w:rsidR="00C9633A">
        <w:rPr>
          <w:rFonts w:ascii="Arial" w:hAnsi="Arial" w:cs="Arial"/>
          <w:szCs w:val="24"/>
        </w:rPr>
        <w:t>p</w:t>
      </w:r>
      <w:r w:rsidRPr="00CA3984">
        <w:rPr>
          <w:rFonts w:ascii="Arial" w:hAnsi="Arial" w:cs="Arial"/>
          <w:szCs w:val="24"/>
        </w:rPr>
        <w:t>oço 6.</w:t>
      </w:r>
    </w:p>
    <w:p w14:paraId="44B9C614" w14:textId="4A2E2F10" w:rsidR="00E07BB3" w:rsidRDefault="00E8653F" w:rsidP="00D41945">
      <w:pPr>
        <w:rPr>
          <w:rFonts w:ascii="Arial" w:hAnsi="Arial" w:cs="Arial"/>
          <w:szCs w:val="24"/>
          <w:lang w:val="en-US"/>
        </w:rPr>
      </w:pPr>
      <w:r w:rsidRPr="00CA3984">
        <w:rPr>
          <w:rFonts w:ascii="Arial" w:hAnsi="Arial" w:cs="Arial"/>
          <w:b/>
          <w:szCs w:val="24"/>
          <w:lang w:val="en-US"/>
        </w:rPr>
        <w:t xml:space="preserve">Figure 9 </w:t>
      </w:r>
      <w:r w:rsidR="003E5EE1">
        <w:rPr>
          <w:rFonts w:ascii="Arial" w:hAnsi="Arial" w:cs="Arial"/>
          <w:b/>
          <w:szCs w:val="24"/>
          <w:lang w:val="en-US"/>
        </w:rPr>
        <w:t>–</w:t>
      </w:r>
      <w:r w:rsidRPr="00CA3984">
        <w:rPr>
          <w:rFonts w:ascii="Arial" w:hAnsi="Arial" w:cs="Arial"/>
          <w:szCs w:val="24"/>
          <w:lang w:val="en-US"/>
        </w:rPr>
        <w:t xml:space="preserve"> Well logging of the well 6.</w:t>
      </w:r>
    </w:p>
    <w:p w14:paraId="68D0550C" w14:textId="637E4153" w:rsidR="00C9633A" w:rsidRDefault="00C9633A" w:rsidP="00D41945">
      <w:pPr>
        <w:rPr>
          <w:rFonts w:ascii="Arial" w:eastAsia="Arial" w:hAnsi="Arial" w:cs="Arial"/>
          <w:b/>
          <w:smallCaps/>
          <w:szCs w:val="24"/>
          <w:lang w:val="en-US"/>
        </w:rPr>
      </w:pPr>
    </w:p>
    <w:p w14:paraId="7D9CF034" w14:textId="77777777" w:rsidR="00860EFF" w:rsidRPr="00CA3984" w:rsidRDefault="00860EFF" w:rsidP="00D41945">
      <w:pPr>
        <w:rPr>
          <w:rFonts w:ascii="Arial" w:eastAsia="Arial" w:hAnsi="Arial" w:cs="Arial"/>
          <w:b/>
          <w:smallCaps/>
          <w:szCs w:val="24"/>
          <w:lang w:val="en-US"/>
        </w:rPr>
      </w:pPr>
    </w:p>
    <w:p w14:paraId="25F0B87F" w14:textId="00FC50DD" w:rsidR="00E07BB3" w:rsidRPr="00CA3984" w:rsidRDefault="00E8653F">
      <w:pPr>
        <w:spacing w:line="480" w:lineRule="auto"/>
        <w:jc w:val="both"/>
        <w:rPr>
          <w:rFonts w:ascii="Arial" w:hAnsi="Arial" w:cs="Arial"/>
          <w:sz w:val="24"/>
          <w:szCs w:val="24"/>
        </w:rPr>
      </w:pPr>
      <w:r w:rsidRPr="00CA3984">
        <w:rPr>
          <w:rFonts w:ascii="Arial" w:eastAsia="Arial" w:hAnsi="Arial" w:cs="Arial"/>
          <w:sz w:val="24"/>
          <w:szCs w:val="24"/>
          <w:lang w:val="en-US"/>
        </w:rPr>
        <w:tab/>
      </w:r>
      <w:r w:rsidRPr="00CA3984">
        <w:rPr>
          <w:rFonts w:ascii="Arial" w:eastAsia="Arial" w:hAnsi="Arial" w:cs="Arial"/>
          <w:sz w:val="24"/>
          <w:szCs w:val="24"/>
        </w:rPr>
        <w:t>O poço 7 apresenta composição também predominantemente de itabiritos, entretanto, ao contrário do poço 3, aqui predominam os itabiritos compactos (50%) em detrimento dos brandos (40%). Sua vazão específica</w:t>
      </w:r>
      <w:r w:rsidR="00C9633A">
        <w:rPr>
          <w:rFonts w:ascii="Arial" w:eastAsia="Arial" w:hAnsi="Arial" w:cs="Arial"/>
          <w:sz w:val="24"/>
          <w:szCs w:val="24"/>
        </w:rPr>
        <w:t xml:space="preserve"> </w:t>
      </w:r>
      <w:r w:rsidR="00842E93">
        <w:rPr>
          <w:rFonts w:ascii="Arial" w:eastAsia="Arial" w:hAnsi="Arial" w:cs="Arial"/>
          <w:sz w:val="24"/>
          <w:szCs w:val="24"/>
        </w:rPr>
        <w:t>(3,</w:t>
      </w:r>
      <w:r w:rsidR="00C9633A" w:rsidRPr="00CA3984">
        <w:rPr>
          <w:rFonts w:ascii="Arial" w:eastAsia="Arial" w:hAnsi="Arial" w:cs="Arial"/>
          <w:sz w:val="24"/>
          <w:szCs w:val="24"/>
        </w:rPr>
        <w:t xml:space="preserve">68 m³/h.m) </w:t>
      </w:r>
      <w:r w:rsidRPr="00CA3984">
        <w:rPr>
          <w:rFonts w:ascii="Arial" w:eastAsia="Arial" w:hAnsi="Arial" w:cs="Arial"/>
          <w:sz w:val="24"/>
          <w:szCs w:val="24"/>
        </w:rPr>
        <w:t xml:space="preserve"> é menor que a do poço anterior (</w:t>
      </w:r>
      <w:r w:rsidR="00C9633A">
        <w:rPr>
          <w:rFonts w:ascii="Arial" w:eastAsia="Arial" w:hAnsi="Arial" w:cs="Arial"/>
          <w:sz w:val="24"/>
          <w:szCs w:val="24"/>
        </w:rPr>
        <w:t>poço 6)</w:t>
      </w:r>
      <w:r w:rsidRPr="00CA3984">
        <w:rPr>
          <w:rFonts w:ascii="Arial" w:eastAsia="Arial" w:hAnsi="Arial" w:cs="Arial"/>
          <w:sz w:val="24"/>
          <w:szCs w:val="24"/>
        </w:rPr>
        <w:t xml:space="preserve"> mas ainda continua sendo um valor alto. Os intervalos litológicos deste poço são menores e, por isso, tem-se uma maior variação entre litologias. Os valores de </w:t>
      </w:r>
      <w:r w:rsidR="001D3AC9">
        <w:rPr>
          <w:rFonts w:ascii="Arial" w:eastAsia="Arial" w:hAnsi="Arial" w:cs="Arial"/>
          <w:sz w:val="24"/>
          <w:szCs w:val="24"/>
        </w:rPr>
        <w:t xml:space="preserve">raios </w:t>
      </w:r>
      <w:r w:rsidRPr="00CA3984">
        <w:rPr>
          <w:rFonts w:ascii="Arial" w:eastAsia="Arial" w:hAnsi="Arial" w:cs="Arial"/>
          <w:sz w:val="24"/>
          <w:szCs w:val="24"/>
        </w:rPr>
        <w:t xml:space="preserve">gama diminuem a partir da profundidade de </w:t>
      </w:r>
      <w:r w:rsidR="001D3AC9">
        <w:rPr>
          <w:rFonts w:ascii="Arial" w:eastAsia="Arial" w:hAnsi="Arial" w:cs="Arial"/>
          <w:sz w:val="24"/>
          <w:szCs w:val="24"/>
        </w:rPr>
        <w:t xml:space="preserve">177 </w:t>
      </w:r>
      <w:r w:rsidR="001D3AC9" w:rsidRPr="00CA3984">
        <w:rPr>
          <w:rFonts w:ascii="Arial" w:eastAsia="Arial" w:hAnsi="Arial" w:cs="Arial"/>
          <w:sz w:val="24"/>
          <w:szCs w:val="24"/>
        </w:rPr>
        <w:t xml:space="preserve">m </w:t>
      </w:r>
      <w:r w:rsidRPr="00CA3984">
        <w:rPr>
          <w:rFonts w:ascii="Arial" w:eastAsia="Arial" w:hAnsi="Arial" w:cs="Arial"/>
          <w:sz w:val="24"/>
          <w:szCs w:val="24"/>
        </w:rPr>
        <w:t xml:space="preserve">(&lt;500 API) e o </w:t>
      </w:r>
      <w:r w:rsidR="001D3AC9">
        <w:rPr>
          <w:rFonts w:ascii="Arial" w:eastAsia="Arial" w:hAnsi="Arial" w:cs="Arial"/>
          <w:sz w:val="24"/>
          <w:szCs w:val="24"/>
        </w:rPr>
        <w:t xml:space="preserve">perfil </w:t>
      </w:r>
      <w:r w:rsidRPr="00CA3984">
        <w:rPr>
          <w:rFonts w:ascii="Arial" w:eastAsia="Arial" w:hAnsi="Arial" w:cs="Arial"/>
          <w:sz w:val="24"/>
          <w:szCs w:val="24"/>
        </w:rPr>
        <w:t>sônico apresenta variações (100-320 µs/ft) a partir de 75 m. O SP (variação de -100 a 100 mV) aumenta progressivamente com a profundidade, passando de negativo para positivo em 180 m, indicando que, a partir deste ponto, a salinidade da lama é maior que a da água da formação, o que pode ser indício de áreas fraturadas. Já a resistividade varia muito (</w:t>
      </w:r>
      <w:r w:rsidR="001D3AC9">
        <w:rPr>
          <w:rFonts w:ascii="Arial" w:eastAsia="Arial" w:hAnsi="Arial" w:cs="Arial"/>
          <w:i/>
          <w:sz w:val="24"/>
          <w:szCs w:val="24"/>
        </w:rPr>
        <w:t>NC=</w:t>
      </w:r>
      <w:r w:rsidRPr="00CA3984">
        <w:rPr>
          <w:rFonts w:ascii="Arial" w:eastAsia="Arial" w:hAnsi="Arial" w:cs="Arial"/>
          <w:sz w:val="24"/>
          <w:szCs w:val="24"/>
        </w:rPr>
        <w:t xml:space="preserve"> 200-600 ohm</w:t>
      </w:r>
      <w:r w:rsidR="001D3AC9">
        <w:rPr>
          <w:rFonts w:ascii="Arial" w:eastAsia="Arial" w:hAnsi="Arial" w:cs="Arial"/>
          <w:sz w:val="24"/>
          <w:szCs w:val="24"/>
        </w:rPr>
        <w:t>.</w:t>
      </w:r>
      <w:r w:rsidRPr="00CA3984">
        <w:rPr>
          <w:rFonts w:ascii="Arial" w:eastAsia="Arial" w:hAnsi="Arial" w:cs="Arial"/>
          <w:sz w:val="24"/>
          <w:szCs w:val="24"/>
        </w:rPr>
        <w:t xml:space="preserve">m, </w:t>
      </w:r>
      <w:r w:rsidR="001D3AC9">
        <w:rPr>
          <w:rFonts w:ascii="Arial" w:eastAsia="Arial" w:hAnsi="Arial" w:cs="Arial"/>
          <w:i/>
          <w:sz w:val="24"/>
          <w:szCs w:val="24"/>
        </w:rPr>
        <w:t>NL=</w:t>
      </w:r>
      <w:r w:rsidRPr="00CA3984">
        <w:rPr>
          <w:rFonts w:ascii="Arial" w:eastAsia="Arial" w:hAnsi="Arial" w:cs="Arial"/>
          <w:sz w:val="24"/>
          <w:szCs w:val="24"/>
        </w:rPr>
        <w:t xml:space="preserve"> 500-1500 ohm</w:t>
      </w:r>
      <w:r w:rsidR="001D3AC9">
        <w:rPr>
          <w:rFonts w:ascii="Arial" w:eastAsia="Arial" w:hAnsi="Arial" w:cs="Arial"/>
          <w:sz w:val="24"/>
          <w:szCs w:val="24"/>
        </w:rPr>
        <w:t>.</w:t>
      </w:r>
      <w:r w:rsidRPr="00CA3984">
        <w:rPr>
          <w:rFonts w:ascii="Arial" w:eastAsia="Arial" w:hAnsi="Arial" w:cs="Arial"/>
          <w:sz w:val="24"/>
          <w:szCs w:val="24"/>
        </w:rPr>
        <w:t>m)</w:t>
      </w:r>
      <w:r w:rsidR="001D3AC9">
        <w:rPr>
          <w:rFonts w:ascii="Arial" w:eastAsia="Arial" w:hAnsi="Arial" w:cs="Arial"/>
          <w:sz w:val="24"/>
          <w:szCs w:val="24"/>
        </w:rPr>
        <w:t>,</w:t>
      </w:r>
      <w:r w:rsidRPr="00CA3984">
        <w:rPr>
          <w:rFonts w:ascii="Arial" w:eastAsia="Arial" w:hAnsi="Arial" w:cs="Arial"/>
          <w:sz w:val="24"/>
          <w:szCs w:val="24"/>
        </w:rPr>
        <w:t xml:space="preserve"> mas possui dois baixos nas profundidades de 207 e 235 m</w:t>
      </w:r>
      <w:r w:rsidR="001D3AC9">
        <w:rPr>
          <w:rFonts w:ascii="Arial" w:eastAsia="Arial" w:hAnsi="Arial" w:cs="Arial"/>
          <w:sz w:val="24"/>
          <w:szCs w:val="24"/>
        </w:rPr>
        <w:t>,</w:t>
      </w:r>
      <w:r w:rsidRPr="00CA3984">
        <w:rPr>
          <w:rFonts w:ascii="Arial" w:eastAsia="Arial" w:hAnsi="Arial" w:cs="Arial"/>
          <w:sz w:val="24"/>
          <w:szCs w:val="24"/>
        </w:rPr>
        <w:t xml:space="preserve"> que parecem estar associados ao contato entre itabirito brando e compacto. Acredita-se que a grande transição entre litologias no poço seja favorável a zonas de fraturamento, e, consequentemente, ao acúmulo de água. </w:t>
      </w:r>
    </w:p>
    <w:p w14:paraId="1EE2A1B4" w14:textId="49B3C9F3" w:rsidR="00E07BB3" w:rsidRPr="00CA3984" w:rsidRDefault="007A1E38" w:rsidP="00CA3984">
      <w:pPr>
        <w:jc w:val="center"/>
        <w:rPr>
          <w:rFonts w:ascii="Arial" w:hAnsi="Arial" w:cs="Arial"/>
          <w:sz w:val="24"/>
          <w:szCs w:val="24"/>
        </w:rPr>
      </w:pPr>
      <w:r>
        <w:rPr>
          <w:rFonts w:ascii="Arial" w:hAnsi="Arial" w:cs="Arial"/>
          <w:noProof/>
          <w:sz w:val="24"/>
          <w:szCs w:val="24"/>
        </w:rPr>
        <w:lastRenderedPageBreak/>
        <w:drawing>
          <wp:inline distT="0" distB="0" distL="0" distR="0" wp14:anchorId="11574D17" wp14:editId="7635A244">
            <wp:extent cx="5166000" cy="4140000"/>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ura 10.png"/>
                    <pic:cNvPicPr/>
                  </pic:nvPicPr>
                  <pic:blipFill rotWithShape="1">
                    <a:blip r:embed="rId15" cstate="print">
                      <a:extLst>
                        <a:ext uri="{28A0092B-C50C-407E-A947-70E740481C1C}">
                          <a14:useLocalDpi xmlns:a14="http://schemas.microsoft.com/office/drawing/2010/main" val="0"/>
                        </a:ext>
                      </a:extLst>
                    </a:blip>
                    <a:srcRect r="275"/>
                    <a:stretch/>
                  </pic:blipFill>
                  <pic:spPr bwMode="auto">
                    <a:xfrm>
                      <a:off x="0" y="0"/>
                      <a:ext cx="5166000" cy="4140000"/>
                    </a:xfrm>
                    <a:prstGeom prst="rect">
                      <a:avLst/>
                    </a:prstGeom>
                    <a:ln>
                      <a:noFill/>
                    </a:ln>
                    <a:extLst>
                      <a:ext uri="{53640926-AAD7-44D8-BBD7-CCE9431645EC}">
                        <a14:shadowObscured xmlns:a14="http://schemas.microsoft.com/office/drawing/2010/main"/>
                      </a:ext>
                    </a:extLst>
                  </pic:spPr>
                </pic:pic>
              </a:graphicData>
            </a:graphic>
          </wp:inline>
        </w:drawing>
      </w:r>
    </w:p>
    <w:p w14:paraId="77622764" w14:textId="094A97B6" w:rsidR="00E07BB3" w:rsidRPr="00CA3984" w:rsidRDefault="00E8653F" w:rsidP="00D41945">
      <w:pPr>
        <w:tabs>
          <w:tab w:val="left" w:pos="851"/>
        </w:tabs>
        <w:rPr>
          <w:rFonts w:ascii="Arial" w:eastAsia="Arial" w:hAnsi="Arial" w:cs="Arial"/>
          <w:b/>
        </w:rPr>
      </w:pPr>
      <w:r w:rsidRPr="00CA3984">
        <w:rPr>
          <w:rFonts w:ascii="Arial" w:eastAsia="Arial" w:hAnsi="Arial" w:cs="Arial"/>
          <w:b/>
        </w:rPr>
        <w:t xml:space="preserve">Figura 10 </w:t>
      </w:r>
      <w:r w:rsidR="003E5EE1">
        <w:rPr>
          <w:rFonts w:ascii="Arial" w:eastAsia="Arial" w:hAnsi="Arial" w:cs="Arial"/>
          <w:b/>
        </w:rPr>
        <w:t>–</w:t>
      </w:r>
      <w:r w:rsidRPr="00CA3984">
        <w:rPr>
          <w:rFonts w:ascii="Arial" w:eastAsia="Arial" w:hAnsi="Arial" w:cs="Arial"/>
          <w:b/>
        </w:rPr>
        <w:t xml:space="preserve"> </w:t>
      </w:r>
      <w:r w:rsidR="00C9633A">
        <w:rPr>
          <w:rFonts w:ascii="Arial" w:eastAsia="Arial" w:hAnsi="Arial" w:cs="Arial"/>
        </w:rPr>
        <w:t>P</w:t>
      </w:r>
      <w:r w:rsidRPr="00CA3984">
        <w:rPr>
          <w:rFonts w:ascii="Arial" w:eastAsia="Arial" w:hAnsi="Arial" w:cs="Arial"/>
        </w:rPr>
        <w:t xml:space="preserve">erfil geofísico do </w:t>
      </w:r>
      <w:r w:rsidR="00C9633A">
        <w:rPr>
          <w:rFonts w:ascii="Arial" w:eastAsia="Arial" w:hAnsi="Arial" w:cs="Arial"/>
        </w:rPr>
        <w:t>p</w:t>
      </w:r>
      <w:r w:rsidRPr="00CA3984">
        <w:rPr>
          <w:rFonts w:ascii="Arial" w:eastAsia="Arial" w:hAnsi="Arial" w:cs="Arial"/>
        </w:rPr>
        <w:t>oço 7.</w:t>
      </w:r>
    </w:p>
    <w:p w14:paraId="0B8E1F97" w14:textId="51BA5038" w:rsidR="00E07BB3" w:rsidRDefault="00E8653F" w:rsidP="00D41945">
      <w:pPr>
        <w:tabs>
          <w:tab w:val="left" w:pos="851"/>
        </w:tabs>
        <w:rPr>
          <w:rFonts w:ascii="Arial" w:eastAsia="Arial" w:hAnsi="Arial" w:cs="Arial"/>
          <w:lang w:val="en-US"/>
        </w:rPr>
      </w:pPr>
      <w:r w:rsidRPr="00CA3984">
        <w:rPr>
          <w:rFonts w:ascii="Arial" w:eastAsia="Arial" w:hAnsi="Arial" w:cs="Arial"/>
          <w:b/>
          <w:lang w:val="en-US"/>
        </w:rPr>
        <w:t xml:space="preserve">Figure 10 </w:t>
      </w:r>
      <w:r w:rsidR="003E5EE1">
        <w:rPr>
          <w:rFonts w:ascii="Arial" w:eastAsia="Arial" w:hAnsi="Arial" w:cs="Arial"/>
          <w:b/>
          <w:lang w:val="en-US"/>
        </w:rPr>
        <w:t>–</w:t>
      </w:r>
      <w:r w:rsidRPr="00CA3984">
        <w:rPr>
          <w:rFonts w:ascii="Arial" w:eastAsia="Arial" w:hAnsi="Arial" w:cs="Arial"/>
          <w:b/>
          <w:lang w:val="en-US"/>
        </w:rPr>
        <w:t xml:space="preserve"> </w:t>
      </w:r>
      <w:r w:rsidRPr="00CA3984">
        <w:rPr>
          <w:rFonts w:ascii="Arial" w:eastAsia="Arial" w:hAnsi="Arial" w:cs="Arial"/>
          <w:lang w:val="en-US"/>
        </w:rPr>
        <w:t>Well logging analysis of the well 7.</w:t>
      </w:r>
    </w:p>
    <w:p w14:paraId="73A448C9" w14:textId="16ABF544" w:rsidR="009A04B1" w:rsidRDefault="009A04B1" w:rsidP="00D41945">
      <w:pPr>
        <w:tabs>
          <w:tab w:val="left" w:pos="851"/>
        </w:tabs>
        <w:rPr>
          <w:rFonts w:ascii="Arial" w:eastAsia="Arial" w:hAnsi="Arial" w:cs="Arial"/>
          <w:lang w:val="en-US"/>
        </w:rPr>
      </w:pPr>
    </w:p>
    <w:p w14:paraId="5DECFEE1" w14:textId="582129D4" w:rsidR="009A04B1" w:rsidRDefault="009A04B1" w:rsidP="00D41945">
      <w:pPr>
        <w:tabs>
          <w:tab w:val="left" w:pos="851"/>
        </w:tabs>
        <w:rPr>
          <w:rFonts w:ascii="Arial" w:eastAsia="Arial" w:hAnsi="Arial" w:cs="Arial"/>
          <w:lang w:val="en-US"/>
        </w:rPr>
      </w:pPr>
    </w:p>
    <w:p w14:paraId="0B4E8D26" w14:textId="7C4AED6D" w:rsidR="009A04B1" w:rsidRDefault="009A04B1" w:rsidP="00D41945">
      <w:pPr>
        <w:tabs>
          <w:tab w:val="left" w:pos="851"/>
        </w:tabs>
        <w:rPr>
          <w:rFonts w:ascii="Arial" w:eastAsia="Arial" w:hAnsi="Arial" w:cs="Arial"/>
          <w:lang w:val="en-US"/>
        </w:rPr>
      </w:pPr>
    </w:p>
    <w:p w14:paraId="618373F8" w14:textId="77777777" w:rsidR="009A04B1" w:rsidRPr="00CA3984" w:rsidRDefault="009A04B1" w:rsidP="00D41945">
      <w:pPr>
        <w:tabs>
          <w:tab w:val="left" w:pos="851"/>
        </w:tabs>
        <w:rPr>
          <w:rFonts w:ascii="Arial" w:eastAsia="Arial" w:hAnsi="Arial" w:cs="Arial"/>
          <w:b/>
          <w:sz w:val="24"/>
          <w:szCs w:val="24"/>
          <w:lang w:val="en-US"/>
        </w:rPr>
      </w:pPr>
    </w:p>
    <w:p w14:paraId="58F4061D" w14:textId="77777777" w:rsidR="00E07BB3" w:rsidRPr="00CA3984" w:rsidRDefault="00E8653F">
      <w:pPr>
        <w:numPr>
          <w:ilvl w:val="0"/>
          <w:numId w:val="1"/>
        </w:numPr>
        <w:spacing w:line="480" w:lineRule="auto"/>
        <w:ind w:left="0" w:firstLine="0"/>
        <w:jc w:val="both"/>
        <w:rPr>
          <w:rFonts w:ascii="Arial" w:eastAsia="Arial" w:hAnsi="Arial" w:cs="Arial"/>
          <w:b/>
          <w:sz w:val="24"/>
          <w:szCs w:val="24"/>
        </w:rPr>
      </w:pPr>
      <w:r w:rsidRPr="00CA3984">
        <w:rPr>
          <w:rFonts w:ascii="Arial" w:eastAsia="Arial" w:hAnsi="Arial" w:cs="Arial"/>
          <w:b/>
          <w:smallCaps/>
          <w:sz w:val="24"/>
          <w:szCs w:val="24"/>
        </w:rPr>
        <w:t>CONCLUSÕES</w:t>
      </w:r>
    </w:p>
    <w:p w14:paraId="249B75A8" w14:textId="2B70885A" w:rsidR="00E07BB3" w:rsidRPr="00CA3984" w:rsidRDefault="00E8653F" w:rsidP="00CA3984">
      <w:pPr>
        <w:spacing w:line="480" w:lineRule="auto"/>
        <w:ind w:firstLine="720"/>
        <w:jc w:val="both"/>
        <w:rPr>
          <w:rFonts w:ascii="Arial" w:eastAsia="Arial" w:hAnsi="Arial" w:cs="Arial"/>
          <w:sz w:val="24"/>
          <w:szCs w:val="24"/>
        </w:rPr>
      </w:pPr>
      <w:r w:rsidRPr="00CA3984">
        <w:rPr>
          <w:rFonts w:ascii="Arial" w:eastAsia="Arial" w:hAnsi="Arial" w:cs="Arial"/>
          <w:sz w:val="24"/>
          <w:szCs w:val="24"/>
        </w:rPr>
        <w:t>Com base na interpretação dos dados, nota-se que, na área de estudo, a litologia mais favorável para presença de água são as hematitas brandas, como evidenciado pelos poços 1 e 2 (</w:t>
      </w:r>
      <w:r w:rsidR="008307DD">
        <w:rPr>
          <w:rFonts w:ascii="Arial" w:eastAsia="Arial" w:hAnsi="Arial" w:cs="Arial"/>
          <w:sz w:val="24"/>
          <w:szCs w:val="24"/>
        </w:rPr>
        <w:t>p</w:t>
      </w:r>
      <w:r w:rsidRPr="00CA3984">
        <w:rPr>
          <w:rFonts w:ascii="Arial" w:eastAsia="Arial" w:hAnsi="Arial" w:cs="Arial"/>
          <w:sz w:val="24"/>
          <w:szCs w:val="24"/>
        </w:rPr>
        <w:t>oço 1: v.e. 4</w:t>
      </w:r>
      <w:r w:rsidR="008307DD">
        <w:rPr>
          <w:rFonts w:ascii="Arial" w:eastAsia="Arial" w:hAnsi="Arial" w:cs="Arial"/>
          <w:sz w:val="24"/>
          <w:szCs w:val="24"/>
        </w:rPr>
        <w:t>,</w:t>
      </w:r>
      <w:r w:rsidRPr="00CA3984">
        <w:rPr>
          <w:rFonts w:ascii="Arial" w:eastAsia="Arial" w:hAnsi="Arial" w:cs="Arial"/>
          <w:sz w:val="24"/>
          <w:szCs w:val="24"/>
        </w:rPr>
        <w:t>91 m³/h.m e 35% de hematita) (</w:t>
      </w:r>
      <w:r w:rsidR="008307DD">
        <w:rPr>
          <w:rFonts w:ascii="Arial" w:eastAsia="Arial" w:hAnsi="Arial" w:cs="Arial"/>
          <w:sz w:val="24"/>
          <w:szCs w:val="24"/>
        </w:rPr>
        <w:t>p</w:t>
      </w:r>
      <w:r w:rsidRPr="00CA3984">
        <w:rPr>
          <w:rFonts w:ascii="Arial" w:eastAsia="Arial" w:hAnsi="Arial" w:cs="Arial"/>
          <w:sz w:val="24"/>
          <w:szCs w:val="24"/>
        </w:rPr>
        <w:t>oço 2: v.e.</w:t>
      </w:r>
      <w:r w:rsidR="001D3AC9">
        <w:rPr>
          <w:rFonts w:ascii="Arial" w:eastAsia="Arial" w:hAnsi="Arial" w:cs="Arial"/>
          <w:sz w:val="24"/>
          <w:szCs w:val="24"/>
        </w:rPr>
        <w:t xml:space="preserve"> </w:t>
      </w:r>
      <w:r w:rsidRPr="00CA3984">
        <w:rPr>
          <w:rFonts w:ascii="Arial" w:eastAsia="Arial" w:hAnsi="Arial" w:cs="Arial"/>
          <w:sz w:val="24"/>
          <w:szCs w:val="24"/>
        </w:rPr>
        <w:t>3</w:t>
      </w:r>
      <w:r w:rsidR="008307DD">
        <w:rPr>
          <w:rFonts w:ascii="Arial" w:eastAsia="Arial" w:hAnsi="Arial" w:cs="Arial"/>
          <w:sz w:val="24"/>
          <w:szCs w:val="24"/>
        </w:rPr>
        <w:t>,</w:t>
      </w:r>
      <w:r w:rsidRPr="00CA3984">
        <w:rPr>
          <w:rFonts w:ascii="Arial" w:eastAsia="Arial" w:hAnsi="Arial" w:cs="Arial"/>
          <w:sz w:val="24"/>
          <w:szCs w:val="24"/>
        </w:rPr>
        <w:t>07 m³/h.m, 31% de hematita), seguidas pelos itabiritos brandos. Isso ocorre porque as hematitas são lixiviadas em sílica em relação aos itabiritos e o raio atômico do ferro (Fe) é maior que o do silício (Si). Assim, as hematitas possuem um arranjo atômico com maior distância interatômica, aumentando o espaço intersticial nessas rochas e, consequentemente, sua porosidade.</w:t>
      </w:r>
    </w:p>
    <w:p w14:paraId="7AFD6FD1" w14:textId="467E596B" w:rsidR="00E07BB3" w:rsidRPr="00CA3984" w:rsidRDefault="00E8653F" w:rsidP="00CA3984">
      <w:pPr>
        <w:spacing w:line="480" w:lineRule="auto"/>
        <w:ind w:firstLine="720"/>
        <w:jc w:val="both"/>
        <w:rPr>
          <w:rFonts w:ascii="Arial" w:eastAsia="Arial" w:hAnsi="Arial" w:cs="Arial"/>
          <w:sz w:val="24"/>
          <w:szCs w:val="24"/>
        </w:rPr>
      </w:pPr>
      <w:r w:rsidRPr="00CA3984">
        <w:rPr>
          <w:rFonts w:ascii="Arial" w:eastAsia="Arial" w:hAnsi="Arial" w:cs="Arial"/>
          <w:sz w:val="24"/>
          <w:szCs w:val="24"/>
        </w:rPr>
        <w:t xml:space="preserve">A comparação entre os poços 3 e 7, de composição predominante de itabiritos brandos (IB) e compactos (IC) permite inferir que os itabiritos brandos são mais </w:t>
      </w:r>
      <w:r w:rsidRPr="00CA3984">
        <w:rPr>
          <w:rFonts w:ascii="Arial" w:eastAsia="Arial" w:hAnsi="Arial" w:cs="Arial"/>
          <w:sz w:val="24"/>
          <w:szCs w:val="24"/>
        </w:rPr>
        <w:lastRenderedPageBreak/>
        <w:t>propícios para água (</w:t>
      </w:r>
      <w:r w:rsidR="008307DD">
        <w:rPr>
          <w:rFonts w:ascii="Arial" w:eastAsia="Arial" w:hAnsi="Arial" w:cs="Arial"/>
          <w:sz w:val="24"/>
          <w:szCs w:val="24"/>
        </w:rPr>
        <w:t>p</w:t>
      </w:r>
      <w:r w:rsidRPr="00CA3984">
        <w:rPr>
          <w:rFonts w:ascii="Arial" w:eastAsia="Arial" w:hAnsi="Arial" w:cs="Arial"/>
          <w:sz w:val="24"/>
          <w:szCs w:val="24"/>
        </w:rPr>
        <w:t>oço 3: v.e. 4</w:t>
      </w:r>
      <w:r w:rsidR="008307DD">
        <w:rPr>
          <w:rFonts w:ascii="Arial" w:eastAsia="Arial" w:hAnsi="Arial" w:cs="Arial"/>
          <w:sz w:val="24"/>
          <w:szCs w:val="24"/>
        </w:rPr>
        <w:t>,</w:t>
      </w:r>
      <w:r w:rsidRPr="00CA3984">
        <w:rPr>
          <w:rFonts w:ascii="Arial" w:eastAsia="Arial" w:hAnsi="Arial" w:cs="Arial"/>
          <w:sz w:val="24"/>
          <w:szCs w:val="24"/>
        </w:rPr>
        <w:t>3 m³/h.m e 72% IB e 26% IC) (</w:t>
      </w:r>
      <w:r w:rsidR="008307DD">
        <w:rPr>
          <w:rFonts w:ascii="Arial" w:eastAsia="Arial" w:hAnsi="Arial" w:cs="Arial"/>
          <w:sz w:val="24"/>
          <w:szCs w:val="24"/>
        </w:rPr>
        <w:t>p</w:t>
      </w:r>
      <w:r w:rsidRPr="00CA3984">
        <w:rPr>
          <w:rFonts w:ascii="Arial" w:eastAsia="Arial" w:hAnsi="Arial" w:cs="Arial"/>
          <w:sz w:val="24"/>
          <w:szCs w:val="24"/>
        </w:rPr>
        <w:t>oço 7: v.e.</w:t>
      </w:r>
      <w:r w:rsidR="001D3AC9">
        <w:rPr>
          <w:rFonts w:ascii="Arial" w:eastAsia="Arial" w:hAnsi="Arial" w:cs="Arial"/>
          <w:sz w:val="24"/>
          <w:szCs w:val="24"/>
        </w:rPr>
        <w:t xml:space="preserve"> </w:t>
      </w:r>
      <w:r w:rsidRPr="00CA3984">
        <w:rPr>
          <w:rFonts w:ascii="Arial" w:eastAsia="Arial" w:hAnsi="Arial" w:cs="Arial"/>
          <w:sz w:val="24"/>
          <w:szCs w:val="24"/>
        </w:rPr>
        <w:t>3</w:t>
      </w:r>
      <w:r w:rsidR="008307DD">
        <w:rPr>
          <w:rFonts w:ascii="Arial" w:eastAsia="Arial" w:hAnsi="Arial" w:cs="Arial"/>
          <w:sz w:val="24"/>
          <w:szCs w:val="24"/>
        </w:rPr>
        <w:t>,</w:t>
      </w:r>
      <w:r w:rsidRPr="00CA3984">
        <w:rPr>
          <w:rFonts w:ascii="Arial" w:eastAsia="Arial" w:hAnsi="Arial" w:cs="Arial"/>
          <w:sz w:val="24"/>
          <w:szCs w:val="24"/>
        </w:rPr>
        <w:t>7 m³/h.m, 40%</w:t>
      </w:r>
      <w:r w:rsidR="001D3AC9">
        <w:rPr>
          <w:rFonts w:ascii="Arial" w:eastAsia="Arial" w:hAnsi="Arial" w:cs="Arial"/>
          <w:sz w:val="24"/>
          <w:szCs w:val="24"/>
        </w:rPr>
        <w:t xml:space="preserve"> </w:t>
      </w:r>
      <w:r w:rsidRPr="00CA3984">
        <w:rPr>
          <w:rFonts w:ascii="Arial" w:eastAsia="Arial" w:hAnsi="Arial" w:cs="Arial"/>
          <w:sz w:val="24"/>
          <w:szCs w:val="24"/>
        </w:rPr>
        <w:t>IB e 50% IC). Nesse caso</w:t>
      </w:r>
      <w:r w:rsidR="00993586">
        <w:rPr>
          <w:rFonts w:ascii="Arial" w:eastAsia="Arial" w:hAnsi="Arial" w:cs="Arial"/>
          <w:sz w:val="24"/>
          <w:szCs w:val="24"/>
        </w:rPr>
        <w:t>,</w:t>
      </w:r>
      <w:r w:rsidRPr="00CA3984">
        <w:rPr>
          <w:rFonts w:ascii="Arial" w:eastAsia="Arial" w:hAnsi="Arial" w:cs="Arial"/>
          <w:sz w:val="24"/>
          <w:szCs w:val="24"/>
        </w:rPr>
        <w:t xml:space="preserve"> as litologias brandas sofreram um grau de metamorfismo menor que as litologias compactas, que se encontram em profundidade maior. Assim, as rochas compactas são mais competentes e, portanto, tendem a ser mais resistentes que as brandas com relação geração de porosidade secundária (fraturamento e intemperismo).</w:t>
      </w:r>
    </w:p>
    <w:p w14:paraId="67B79132" w14:textId="2EB2DC77" w:rsidR="00E07BB3" w:rsidRPr="00CA3984" w:rsidRDefault="00E8653F" w:rsidP="00CA3984">
      <w:pPr>
        <w:spacing w:line="480" w:lineRule="auto"/>
        <w:ind w:firstLine="720"/>
        <w:jc w:val="both"/>
        <w:rPr>
          <w:rFonts w:ascii="Arial" w:eastAsia="Arial" w:hAnsi="Arial" w:cs="Arial"/>
          <w:sz w:val="24"/>
          <w:szCs w:val="24"/>
        </w:rPr>
      </w:pPr>
      <w:r w:rsidRPr="00CA3984">
        <w:rPr>
          <w:rFonts w:ascii="Arial" w:eastAsia="Arial" w:hAnsi="Arial" w:cs="Arial"/>
          <w:sz w:val="24"/>
          <w:szCs w:val="24"/>
        </w:rPr>
        <w:t>A análise da perfilagem mostra ainda que os trechos de transição entre litologias e porções de itabirito compacto fraturadas são também intervalos com grande potencial para água. Este fraturamento pode ser indicado com o auxílio d</w:t>
      </w:r>
      <w:r w:rsidR="00993586">
        <w:rPr>
          <w:rFonts w:ascii="Arial" w:eastAsia="Arial" w:hAnsi="Arial" w:cs="Arial"/>
          <w:sz w:val="24"/>
          <w:szCs w:val="24"/>
        </w:rPr>
        <w:t>o</w:t>
      </w:r>
      <w:r w:rsidRPr="00CA3984">
        <w:rPr>
          <w:rFonts w:ascii="Arial" w:eastAsia="Arial" w:hAnsi="Arial" w:cs="Arial"/>
          <w:sz w:val="24"/>
          <w:szCs w:val="24"/>
        </w:rPr>
        <w:t xml:space="preserve"> </w:t>
      </w:r>
      <w:r w:rsidR="00993586">
        <w:rPr>
          <w:rFonts w:ascii="Arial" w:eastAsia="Arial" w:hAnsi="Arial" w:cs="Arial"/>
          <w:sz w:val="24"/>
          <w:szCs w:val="24"/>
        </w:rPr>
        <w:t>perfil</w:t>
      </w:r>
      <w:r w:rsidR="00993586" w:rsidRPr="00CA3984">
        <w:rPr>
          <w:rFonts w:ascii="Arial" w:eastAsia="Arial" w:hAnsi="Arial" w:cs="Arial"/>
          <w:sz w:val="24"/>
          <w:szCs w:val="24"/>
        </w:rPr>
        <w:t xml:space="preserve"> </w:t>
      </w:r>
      <w:r w:rsidRPr="00CA3984">
        <w:rPr>
          <w:rFonts w:ascii="Arial" w:eastAsia="Arial" w:hAnsi="Arial" w:cs="Arial"/>
          <w:sz w:val="24"/>
          <w:szCs w:val="24"/>
        </w:rPr>
        <w:t>sônico (grande variação e altos valores) e a presença de água pode ser interpretada com uma diminuição da resistividade nesses locais. Este comportamento se dá pela água subterrânea procurar estruturas como falhas, fraturas e contatos litológicos para direcionamento do fluxo de água.</w:t>
      </w:r>
    </w:p>
    <w:p w14:paraId="084A1724" w14:textId="59F4DF4A" w:rsidR="00E07BB3" w:rsidRPr="00CA3984" w:rsidRDefault="00E8653F" w:rsidP="00CA3984">
      <w:pPr>
        <w:spacing w:line="480" w:lineRule="auto"/>
        <w:ind w:firstLine="720"/>
        <w:jc w:val="both"/>
        <w:rPr>
          <w:rFonts w:ascii="Arial" w:eastAsia="Arial" w:hAnsi="Arial" w:cs="Arial"/>
          <w:sz w:val="24"/>
          <w:szCs w:val="24"/>
        </w:rPr>
      </w:pPr>
      <w:r w:rsidRPr="00CA3984">
        <w:rPr>
          <w:rFonts w:ascii="Arial" w:eastAsia="Arial" w:hAnsi="Arial" w:cs="Arial"/>
          <w:sz w:val="24"/>
          <w:szCs w:val="24"/>
        </w:rPr>
        <w:t>É importante ressaltar que a análise das ferramentas geofísicas deve ser sempre realizada em conjunto</w:t>
      </w:r>
      <w:r w:rsidR="00993586">
        <w:rPr>
          <w:rFonts w:ascii="Arial" w:eastAsia="Arial" w:hAnsi="Arial" w:cs="Arial"/>
          <w:sz w:val="24"/>
          <w:szCs w:val="24"/>
        </w:rPr>
        <w:t>.</w:t>
      </w:r>
      <w:r w:rsidRPr="00CA3984">
        <w:rPr>
          <w:rFonts w:ascii="Arial" w:eastAsia="Arial" w:hAnsi="Arial" w:cs="Arial"/>
          <w:sz w:val="24"/>
          <w:szCs w:val="24"/>
        </w:rPr>
        <w:t xml:space="preserve"> </w:t>
      </w:r>
      <w:r w:rsidR="00993586">
        <w:rPr>
          <w:rFonts w:ascii="Arial" w:eastAsia="Arial" w:hAnsi="Arial" w:cs="Arial"/>
          <w:sz w:val="24"/>
          <w:szCs w:val="24"/>
        </w:rPr>
        <w:t>N</w:t>
      </w:r>
      <w:r w:rsidRPr="00CA3984">
        <w:rPr>
          <w:rFonts w:ascii="Arial" w:eastAsia="Arial" w:hAnsi="Arial" w:cs="Arial"/>
          <w:sz w:val="24"/>
          <w:szCs w:val="24"/>
        </w:rPr>
        <w:t xml:space="preserve">o entanto, a análise individual das respostas de </w:t>
      </w:r>
      <w:r w:rsidR="00993586">
        <w:rPr>
          <w:rFonts w:ascii="Arial" w:eastAsia="Arial" w:hAnsi="Arial" w:cs="Arial"/>
          <w:sz w:val="24"/>
          <w:szCs w:val="24"/>
        </w:rPr>
        <w:t xml:space="preserve">raios </w:t>
      </w:r>
      <w:r w:rsidRPr="00CA3984">
        <w:rPr>
          <w:rFonts w:ascii="Arial" w:eastAsia="Arial" w:hAnsi="Arial" w:cs="Arial"/>
          <w:sz w:val="24"/>
          <w:szCs w:val="24"/>
        </w:rPr>
        <w:t>gama parece ser bem eficaz com relação ao potencial para água. A título de exemplo podem ser citados os poços 3 e 6 que possuem baixa e elevada argilosidade, respectivamente, e vazões específicas proporcionais a tais valores (</w:t>
      </w:r>
      <w:r w:rsidR="008307DD">
        <w:rPr>
          <w:rFonts w:ascii="Arial" w:eastAsia="Arial" w:hAnsi="Arial" w:cs="Arial"/>
          <w:sz w:val="24"/>
          <w:szCs w:val="24"/>
        </w:rPr>
        <w:t>p</w:t>
      </w:r>
      <w:r w:rsidRPr="00CA3984">
        <w:rPr>
          <w:rFonts w:ascii="Arial" w:eastAsia="Arial" w:hAnsi="Arial" w:cs="Arial"/>
          <w:sz w:val="24"/>
          <w:szCs w:val="24"/>
        </w:rPr>
        <w:t>oço 3: v.e. 4</w:t>
      </w:r>
      <w:r w:rsidR="008307DD">
        <w:rPr>
          <w:rFonts w:ascii="Arial" w:eastAsia="Arial" w:hAnsi="Arial" w:cs="Arial"/>
          <w:sz w:val="24"/>
          <w:szCs w:val="24"/>
        </w:rPr>
        <w:t>,</w:t>
      </w:r>
      <w:r w:rsidRPr="00CA3984">
        <w:rPr>
          <w:rFonts w:ascii="Arial" w:eastAsia="Arial" w:hAnsi="Arial" w:cs="Arial"/>
          <w:sz w:val="24"/>
          <w:szCs w:val="24"/>
        </w:rPr>
        <w:t>3 m³/h.m e 14% de itabirito argiloso) (</w:t>
      </w:r>
      <w:r w:rsidR="008307DD">
        <w:rPr>
          <w:rFonts w:ascii="Arial" w:eastAsia="Arial" w:hAnsi="Arial" w:cs="Arial"/>
          <w:sz w:val="24"/>
          <w:szCs w:val="24"/>
        </w:rPr>
        <w:t>p</w:t>
      </w:r>
      <w:r w:rsidRPr="00CA3984">
        <w:rPr>
          <w:rFonts w:ascii="Arial" w:eastAsia="Arial" w:hAnsi="Arial" w:cs="Arial"/>
          <w:sz w:val="24"/>
          <w:szCs w:val="24"/>
        </w:rPr>
        <w:t>oço 6: v.e.1</w:t>
      </w:r>
      <w:r w:rsidR="008307DD">
        <w:rPr>
          <w:rFonts w:ascii="Arial" w:eastAsia="Arial" w:hAnsi="Arial" w:cs="Arial"/>
          <w:sz w:val="24"/>
          <w:szCs w:val="24"/>
        </w:rPr>
        <w:t>,</w:t>
      </w:r>
      <w:r w:rsidRPr="00CA3984">
        <w:rPr>
          <w:rFonts w:ascii="Arial" w:eastAsia="Arial" w:hAnsi="Arial" w:cs="Arial"/>
          <w:sz w:val="24"/>
          <w:szCs w:val="24"/>
        </w:rPr>
        <w:t xml:space="preserve">52 m³/h.m e 67% de itabirito argiloso). </w:t>
      </w:r>
    </w:p>
    <w:p w14:paraId="29CB3CFD" w14:textId="094923F7" w:rsidR="009A04B1" w:rsidRDefault="00E8653F" w:rsidP="009A04B1">
      <w:pPr>
        <w:spacing w:line="480" w:lineRule="auto"/>
        <w:ind w:firstLine="720"/>
        <w:jc w:val="both"/>
        <w:rPr>
          <w:rFonts w:ascii="Arial" w:eastAsia="Arial" w:hAnsi="Arial" w:cs="Arial"/>
          <w:sz w:val="24"/>
          <w:szCs w:val="24"/>
        </w:rPr>
      </w:pPr>
      <w:r w:rsidRPr="00CA3984">
        <w:rPr>
          <w:rFonts w:ascii="Arial" w:eastAsia="Arial" w:hAnsi="Arial" w:cs="Arial"/>
          <w:sz w:val="24"/>
          <w:szCs w:val="24"/>
        </w:rPr>
        <w:t>Por fim, itabiritos carbonáticos parecem não ser tão favoráveis para água como mostra o poço 5 (</w:t>
      </w:r>
      <w:r w:rsidR="008307DD">
        <w:rPr>
          <w:rFonts w:ascii="Arial" w:eastAsia="Arial" w:hAnsi="Arial" w:cs="Arial"/>
          <w:sz w:val="24"/>
          <w:szCs w:val="24"/>
        </w:rPr>
        <w:t>p</w:t>
      </w:r>
      <w:r w:rsidRPr="00CA3984">
        <w:rPr>
          <w:rFonts w:ascii="Arial" w:eastAsia="Arial" w:hAnsi="Arial" w:cs="Arial"/>
          <w:sz w:val="24"/>
          <w:szCs w:val="24"/>
        </w:rPr>
        <w:t>oço 5: v.e.0</w:t>
      </w:r>
      <w:r w:rsidR="008307DD">
        <w:rPr>
          <w:rFonts w:ascii="Arial" w:eastAsia="Arial" w:hAnsi="Arial" w:cs="Arial"/>
          <w:sz w:val="24"/>
          <w:szCs w:val="24"/>
        </w:rPr>
        <w:t>,</w:t>
      </w:r>
      <w:r w:rsidRPr="00CA3984">
        <w:rPr>
          <w:rFonts w:ascii="Arial" w:eastAsia="Arial" w:hAnsi="Arial" w:cs="Arial"/>
          <w:sz w:val="24"/>
          <w:szCs w:val="24"/>
        </w:rPr>
        <w:t>63 m³/h.m e 60% de itabirito carbonático). No entanto, quando o maciço rochoso carbonático encontra-se fraturado ou com dissoluções (porosidade secundária) a favorabilidade para água aumenta, como visto na análise do poço 4 (</w:t>
      </w:r>
      <w:r w:rsidR="008307DD">
        <w:rPr>
          <w:rFonts w:ascii="Arial" w:eastAsia="Arial" w:hAnsi="Arial" w:cs="Arial"/>
          <w:sz w:val="24"/>
          <w:szCs w:val="24"/>
        </w:rPr>
        <w:t>p</w:t>
      </w:r>
      <w:r w:rsidRPr="00CA3984">
        <w:rPr>
          <w:rFonts w:ascii="Arial" w:eastAsia="Arial" w:hAnsi="Arial" w:cs="Arial"/>
          <w:sz w:val="24"/>
          <w:szCs w:val="24"/>
        </w:rPr>
        <w:t>oço 4: v.e.2</w:t>
      </w:r>
      <w:r w:rsidR="008307DD">
        <w:rPr>
          <w:rFonts w:ascii="Arial" w:eastAsia="Arial" w:hAnsi="Arial" w:cs="Arial"/>
          <w:sz w:val="24"/>
          <w:szCs w:val="24"/>
        </w:rPr>
        <w:t>,</w:t>
      </w:r>
      <w:r w:rsidRPr="00CA3984">
        <w:rPr>
          <w:rFonts w:ascii="Arial" w:eastAsia="Arial" w:hAnsi="Arial" w:cs="Arial"/>
          <w:sz w:val="24"/>
          <w:szCs w:val="24"/>
        </w:rPr>
        <w:t xml:space="preserve">13 m³/h.m e 100% de itabirito carbonático). </w:t>
      </w:r>
    </w:p>
    <w:p w14:paraId="55F568F6" w14:textId="77777777" w:rsidR="001541D7" w:rsidRDefault="001541D7" w:rsidP="009A04B1">
      <w:pPr>
        <w:spacing w:line="480" w:lineRule="auto"/>
        <w:ind w:firstLine="720"/>
        <w:jc w:val="both"/>
        <w:rPr>
          <w:rFonts w:ascii="Arial" w:eastAsia="Arial" w:hAnsi="Arial" w:cs="Arial"/>
          <w:sz w:val="24"/>
          <w:szCs w:val="24"/>
        </w:rPr>
      </w:pPr>
    </w:p>
    <w:p w14:paraId="7CF35132" w14:textId="269B2AF2" w:rsidR="00E07BB3" w:rsidRPr="00CA3984" w:rsidRDefault="00E8653F" w:rsidP="009A04B1">
      <w:pPr>
        <w:spacing w:line="480" w:lineRule="auto"/>
        <w:jc w:val="both"/>
        <w:rPr>
          <w:rFonts w:ascii="Arial" w:eastAsia="Arial" w:hAnsi="Arial" w:cs="Arial"/>
          <w:b/>
          <w:sz w:val="19"/>
          <w:szCs w:val="19"/>
        </w:rPr>
      </w:pPr>
      <w:r w:rsidRPr="00CA3984">
        <w:rPr>
          <w:rFonts w:ascii="Arial" w:eastAsia="Arial" w:hAnsi="Arial" w:cs="Arial"/>
          <w:b/>
          <w:smallCaps/>
          <w:sz w:val="24"/>
          <w:szCs w:val="24"/>
        </w:rPr>
        <w:lastRenderedPageBreak/>
        <w:t>REFERÊNCIAS</w:t>
      </w:r>
    </w:p>
    <w:p w14:paraId="1D7EEDB1" w14:textId="77777777" w:rsidR="00E07BB3" w:rsidRPr="008F7229" w:rsidRDefault="00E8653F">
      <w:pPr>
        <w:jc w:val="both"/>
        <w:rPr>
          <w:rFonts w:ascii="Arial" w:eastAsia="Arial" w:hAnsi="Arial" w:cs="Arial"/>
          <w:szCs w:val="19"/>
          <w:lang w:val="en-US"/>
        </w:rPr>
      </w:pPr>
      <w:r w:rsidRPr="0036192B">
        <w:rPr>
          <w:rFonts w:ascii="Arial" w:eastAsia="Arial" w:hAnsi="Arial" w:cs="Arial"/>
          <w:szCs w:val="19"/>
        </w:rPr>
        <w:t xml:space="preserve">ALKMIM F.F. &amp; MARSHAK S. 1998. </w:t>
      </w:r>
      <w:r w:rsidRPr="008F7229">
        <w:rPr>
          <w:rFonts w:ascii="Arial" w:eastAsia="Arial" w:hAnsi="Arial" w:cs="Arial"/>
          <w:szCs w:val="19"/>
          <w:lang w:val="en-US"/>
        </w:rPr>
        <w:t>Transamazonian orogeny in the southern São Francisco craton, Minas Gerais, Brazil: Evidence for Paleoproterozoic collision and collapse in the Quadrilátero Ferrífero Precambrian Research, 90:29–58.</w:t>
      </w:r>
    </w:p>
    <w:p w14:paraId="297162F6" w14:textId="77777777" w:rsidR="00E07BB3" w:rsidRPr="008F7229" w:rsidRDefault="00E07BB3">
      <w:pPr>
        <w:jc w:val="both"/>
        <w:rPr>
          <w:rFonts w:ascii="Arial" w:eastAsia="Arial" w:hAnsi="Arial" w:cs="Arial"/>
          <w:szCs w:val="19"/>
          <w:lang w:val="en-US"/>
        </w:rPr>
      </w:pPr>
    </w:p>
    <w:p w14:paraId="7DEE5207" w14:textId="77777777" w:rsidR="00E07BB3" w:rsidRPr="008F7229" w:rsidRDefault="00E8653F">
      <w:pPr>
        <w:jc w:val="both"/>
        <w:rPr>
          <w:rFonts w:ascii="Arial" w:eastAsia="Arial" w:hAnsi="Arial" w:cs="Arial"/>
          <w:szCs w:val="19"/>
        </w:rPr>
      </w:pPr>
      <w:r w:rsidRPr="008F7229">
        <w:rPr>
          <w:rFonts w:ascii="Arial" w:eastAsia="Arial" w:hAnsi="Arial" w:cs="Arial"/>
          <w:szCs w:val="19"/>
        </w:rPr>
        <w:t>ALMEIDA, F.F.M., 1977 O Cráton do São Francisco. Revista Bras. Geociências 7, 349–364.</w:t>
      </w:r>
    </w:p>
    <w:p w14:paraId="3ACDCE81" w14:textId="77777777" w:rsidR="00E07BB3" w:rsidRPr="008F7229" w:rsidRDefault="00E07BB3">
      <w:pPr>
        <w:jc w:val="both"/>
        <w:rPr>
          <w:rFonts w:ascii="Arial" w:eastAsia="Arial" w:hAnsi="Arial" w:cs="Arial"/>
          <w:szCs w:val="19"/>
        </w:rPr>
      </w:pPr>
    </w:p>
    <w:p w14:paraId="0477FD5D" w14:textId="77777777" w:rsidR="00E07BB3" w:rsidRPr="008F7229" w:rsidRDefault="00E8653F">
      <w:pPr>
        <w:jc w:val="both"/>
        <w:rPr>
          <w:rFonts w:ascii="Arial" w:eastAsia="Arial" w:hAnsi="Arial" w:cs="Arial"/>
          <w:szCs w:val="19"/>
        </w:rPr>
      </w:pPr>
      <w:r w:rsidRPr="008F7229">
        <w:rPr>
          <w:rFonts w:ascii="Arial" w:eastAsia="Arial" w:hAnsi="Arial" w:cs="Arial"/>
          <w:szCs w:val="19"/>
        </w:rPr>
        <w:t>BARBOSA P.F. 2012. Investigação dos processos formadores de bandamento composicional em formações ferríferas do Quadrilátero Ferrífero. Dissertação de Mestrado, Universidade Federal de Ouro Preto, Ouro Preto,181p.</w:t>
      </w:r>
    </w:p>
    <w:p w14:paraId="3D573F3F" w14:textId="77777777" w:rsidR="00E07BB3" w:rsidRPr="008F7229" w:rsidRDefault="00E07BB3">
      <w:pPr>
        <w:jc w:val="both"/>
        <w:rPr>
          <w:rFonts w:ascii="Arial" w:eastAsia="Arial" w:hAnsi="Arial" w:cs="Arial"/>
          <w:szCs w:val="19"/>
        </w:rPr>
      </w:pPr>
    </w:p>
    <w:p w14:paraId="57221F7D" w14:textId="77777777" w:rsidR="00E07BB3" w:rsidRPr="008F7229" w:rsidRDefault="00E8653F">
      <w:pPr>
        <w:jc w:val="both"/>
        <w:rPr>
          <w:rFonts w:ascii="Arial" w:eastAsia="Arial" w:hAnsi="Arial" w:cs="Arial"/>
          <w:szCs w:val="19"/>
        </w:rPr>
      </w:pPr>
      <w:r w:rsidRPr="008F7229">
        <w:rPr>
          <w:rFonts w:ascii="Arial" w:eastAsia="Arial" w:hAnsi="Arial" w:cs="Arial"/>
          <w:szCs w:val="19"/>
        </w:rPr>
        <w:t>CARNEIRO, M. A. 1992. O complexo metamórfico Bonfim Setentrional (Quadrilátero Ferrífero, Minas Gerais): Litoestratigrafia e evolução geológica de um segmento de crosta continental do Arqueano. Tese de Doutoramento. ed. São Paulo: Universidade de São Paulo.</w:t>
      </w:r>
    </w:p>
    <w:p w14:paraId="531EE2D0" w14:textId="77777777" w:rsidR="00E07BB3" w:rsidRPr="008F7229" w:rsidRDefault="00E07BB3">
      <w:pPr>
        <w:jc w:val="both"/>
        <w:rPr>
          <w:rFonts w:ascii="Arial" w:eastAsia="Arial" w:hAnsi="Arial" w:cs="Arial"/>
          <w:szCs w:val="19"/>
        </w:rPr>
      </w:pPr>
    </w:p>
    <w:p w14:paraId="62F02EAF" w14:textId="77777777" w:rsidR="00E07BB3" w:rsidRPr="008F7229" w:rsidRDefault="00E8653F">
      <w:pPr>
        <w:jc w:val="both"/>
        <w:rPr>
          <w:rFonts w:ascii="Arial" w:eastAsia="Arial" w:hAnsi="Arial" w:cs="Arial"/>
          <w:szCs w:val="19"/>
          <w:lang w:val="en-US"/>
        </w:rPr>
      </w:pPr>
      <w:r w:rsidRPr="008F7229">
        <w:rPr>
          <w:rFonts w:ascii="Arial" w:eastAsia="Arial" w:hAnsi="Arial" w:cs="Arial"/>
          <w:szCs w:val="19"/>
          <w:lang w:val="en-US"/>
        </w:rPr>
        <w:t>DORR II, J. V. N. 1969. Physiographic, stratigraphic and structural development of the Quadrilátero Ferrífero, Brazil. United States Geological Survey Professional Paper 641-A. 110pp.</w:t>
      </w:r>
    </w:p>
    <w:p w14:paraId="333BE9B5" w14:textId="77777777" w:rsidR="00E07BB3" w:rsidRPr="008F7229" w:rsidRDefault="00E07BB3">
      <w:pPr>
        <w:jc w:val="both"/>
        <w:rPr>
          <w:rFonts w:ascii="Arial" w:eastAsia="Arial" w:hAnsi="Arial" w:cs="Arial"/>
          <w:szCs w:val="19"/>
          <w:lang w:val="en-US"/>
        </w:rPr>
      </w:pPr>
    </w:p>
    <w:p w14:paraId="1C81A171" w14:textId="77777777" w:rsidR="00E07BB3" w:rsidRPr="008F7229" w:rsidRDefault="00E8653F">
      <w:pPr>
        <w:jc w:val="both"/>
        <w:rPr>
          <w:rFonts w:ascii="Arial" w:eastAsia="Arial" w:hAnsi="Arial" w:cs="Arial"/>
          <w:szCs w:val="19"/>
        </w:rPr>
      </w:pPr>
      <w:r w:rsidRPr="008F7229">
        <w:rPr>
          <w:rFonts w:ascii="Arial" w:eastAsia="Arial" w:hAnsi="Arial" w:cs="Arial"/>
          <w:szCs w:val="19"/>
          <w:lang w:val="en-US"/>
        </w:rPr>
        <w:t xml:space="preserve">DORR II, J.V., GAIR, J.E., POMERENE, J.B., RYNEARSON, G.A. 1957. </w:t>
      </w:r>
      <w:r w:rsidRPr="008F7229">
        <w:rPr>
          <w:rFonts w:ascii="Arial" w:eastAsia="Arial" w:hAnsi="Arial" w:cs="Arial"/>
          <w:szCs w:val="19"/>
        </w:rPr>
        <w:t>Revisão da estratigrafia pré-cambriana do Quadrilátero Ferrífero, Brasil. Departamento Nacional da Produção Mineral, Divisão de Fomento da Produção Mineral DNPM-DFPM. [S.l.], avulso, vol.81, 31p.</w:t>
      </w:r>
    </w:p>
    <w:p w14:paraId="341B39FA" w14:textId="77777777" w:rsidR="00E07BB3" w:rsidRPr="008F7229" w:rsidRDefault="00E8653F">
      <w:pPr>
        <w:jc w:val="both"/>
        <w:rPr>
          <w:rFonts w:ascii="Arial" w:eastAsia="Arial" w:hAnsi="Arial" w:cs="Arial"/>
          <w:szCs w:val="19"/>
        </w:rPr>
      </w:pPr>
      <w:r w:rsidRPr="008F7229">
        <w:rPr>
          <w:rFonts w:ascii="Arial" w:eastAsia="Arial" w:hAnsi="Arial" w:cs="Arial"/>
          <w:szCs w:val="19"/>
        </w:rPr>
        <w:t>ELIS, V. R. Prospecção de águas subterrâneas com o uso de métodos geofísicos. Grupo de Pesquisa em Geofísica Aplicada. Universidade de São Paulo. Disponível em: http://www.iag.usp.br/agua/geo/prospec_vagner.pdf. Acesso em: 17 abr 2017.</w:t>
      </w:r>
    </w:p>
    <w:p w14:paraId="138C0211" w14:textId="77777777" w:rsidR="00E07BB3" w:rsidRPr="008F7229" w:rsidRDefault="00E07BB3">
      <w:pPr>
        <w:jc w:val="both"/>
        <w:rPr>
          <w:rFonts w:ascii="Arial" w:eastAsia="Arial" w:hAnsi="Arial" w:cs="Arial"/>
          <w:szCs w:val="19"/>
        </w:rPr>
      </w:pPr>
    </w:p>
    <w:p w14:paraId="7D37FC45" w14:textId="77777777" w:rsidR="00E07BB3" w:rsidRPr="008F7229" w:rsidRDefault="00E8653F">
      <w:pPr>
        <w:jc w:val="both"/>
        <w:rPr>
          <w:rFonts w:ascii="Arial" w:eastAsia="Arial" w:hAnsi="Arial" w:cs="Arial"/>
          <w:szCs w:val="19"/>
        </w:rPr>
      </w:pPr>
      <w:r w:rsidRPr="008F7229">
        <w:rPr>
          <w:rFonts w:ascii="Arial" w:eastAsia="Arial" w:hAnsi="Arial" w:cs="Arial"/>
          <w:szCs w:val="19"/>
        </w:rPr>
        <w:t xml:space="preserve">FERNANDES, C.E.de M. Fundamentos de prospecção geofísica. Rio de Ed. Interciência.Rio de Janeiro – BRASIL, 190p.1984. </w:t>
      </w:r>
    </w:p>
    <w:p w14:paraId="67D5E8D0" w14:textId="77777777" w:rsidR="00E07BB3" w:rsidRPr="008F7229" w:rsidRDefault="00E07BB3">
      <w:pPr>
        <w:jc w:val="both"/>
        <w:rPr>
          <w:rFonts w:ascii="Arial" w:eastAsia="Arial" w:hAnsi="Arial" w:cs="Arial"/>
          <w:szCs w:val="19"/>
        </w:rPr>
      </w:pPr>
    </w:p>
    <w:p w14:paraId="1451563F" w14:textId="77777777" w:rsidR="00E07BB3" w:rsidRPr="008F7229" w:rsidRDefault="00E8653F">
      <w:pPr>
        <w:jc w:val="both"/>
        <w:rPr>
          <w:rFonts w:ascii="Arial" w:eastAsia="Arial" w:hAnsi="Arial" w:cs="Arial"/>
          <w:szCs w:val="19"/>
        </w:rPr>
      </w:pPr>
      <w:r w:rsidRPr="008F7229">
        <w:rPr>
          <w:rFonts w:ascii="Arial" w:eastAsia="Arial" w:hAnsi="Arial" w:cs="Arial"/>
          <w:szCs w:val="19"/>
          <w:lang w:val="en-US"/>
        </w:rPr>
        <w:t xml:space="preserve">KEAREY P., BROOKS M., HILL I. 2009. </w:t>
      </w:r>
      <w:r w:rsidRPr="008F7229">
        <w:rPr>
          <w:rFonts w:ascii="Arial" w:eastAsia="Arial" w:hAnsi="Arial" w:cs="Arial"/>
          <w:szCs w:val="19"/>
        </w:rPr>
        <w:t>Geofísica de exploração. Oficina de Textos, São Paulo, 438 p.</w:t>
      </w:r>
    </w:p>
    <w:p w14:paraId="0F666AD5" w14:textId="77777777" w:rsidR="00E07BB3" w:rsidRPr="008F7229" w:rsidRDefault="00E07BB3">
      <w:pPr>
        <w:jc w:val="both"/>
        <w:rPr>
          <w:rFonts w:ascii="Arial" w:eastAsia="Arial" w:hAnsi="Arial" w:cs="Arial"/>
          <w:szCs w:val="19"/>
        </w:rPr>
      </w:pPr>
    </w:p>
    <w:p w14:paraId="671D2CD7" w14:textId="77777777" w:rsidR="00E07BB3" w:rsidRPr="008F7229" w:rsidRDefault="00E8653F">
      <w:pPr>
        <w:jc w:val="both"/>
        <w:rPr>
          <w:rFonts w:ascii="Arial" w:eastAsia="Arial" w:hAnsi="Arial" w:cs="Arial"/>
          <w:szCs w:val="19"/>
        </w:rPr>
      </w:pPr>
      <w:r w:rsidRPr="008F7229">
        <w:rPr>
          <w:rFonts w:ascii="Arial" w:eastAsia="Arial" w:hAnsi="Arial" w:cs="Arial"/>
          <w:szCs w:val="19"/>
        </w:rPr>
        <w:t>MOURÃO, M. A. 2007. Caracterização hidrogeológica do Aquífero Cauê, Quadrilátero Ferrífero, MG. Tese de doutoramento. Universidade Federal de Minas Gerais. Belo Horizonte, 297p.</w:t>
      </w:r>
    </w:p>
    <w:p w14:paraId="654E2E89" w14:textId="77777777" w:rsidR="00E07BB3" w:rsidRPr="008F7229" w:rsidRDefault="00E07BB3">
      <w:pPr>
        <w:jc w:val="both"/>
        <w:rPr>
          <w:rFonts w:ascii="Arial" w:eastAsia="Arial" w:hAnsi="Arial" w:cs="Arial"/>
          <w:szCs w:val="19"/>
        </w:rPr>
      </w:pPr>
    </w:p>
    <w:p w14:paraId="035C3655" w14:textId="77777777" w:rsidR="00E07BB3" w:rsidRPr="00207ED4" w:rsidRDefault="00E8653F">
      <w:pPr>
        <w:jc w:val="both"/>
        <w:rPr>
          <w:rFonts w:ascii="Arial" w:eastAsia="Arial" w:hAnsi="Arial" w:cs="Arial"/>
          <w:szCs w:val="19"/>
          <w:lang w:val="en-US"/>
        </w:rPr>
      </w:pPr>
      <w:r w:rsidRPr="008F7229">
        <w:rPr>
          <w:rFonts w:ascii="Arial" w:eastAsia="Arial" w:hAnsi="Arial" w:cs="Arial"/>
          <w:szCs w:val="19"/>
        </w:rPr>
        <w:t xml:space="preserve">NEVES, ANA C.; BERTACHINI, ANTÔNIO C. 2004. Modelo hidrogeológico conceitual e matemático, mineração Casa de Pedra, Congonhas - MG. In: Cong. Bras. de Geologia., 42, Araxá. Anais. Belo Horizonte: SBG-MG, 2004. </w:t>
      </w:r>
      <w:r w:rsidRPr="00207ED4">
        <w:rPr>
          <w:rFonts w:ascii="Arial" w:eastAsia="Arial" w:hAnsi="Arial" w:cs="Arial"/>
          <w:szCs w:val="19"/>
          <w:lang w:val="en-US"/>
        </w:rPr>
        <w:t xml:space="preserve">1 CD-ROM. </w:t>
      </w:r>
    </w:p>
    <w:p w14:paraId="039D1853" w14:textId="77777777" w:rsidR="00E07BB3" w:rsidRPr="00207ED4" w:rsidRDefault="00E07BB3">
      <w:pPr>
        <w:jc w:val="both"/>
        <w:rPr>
          <w:rFonts w:ascii="Arial" w:eastAsia="Arial" w:hAnsi="Arial" w:cs="Arial"/>
          <w:szCs w:val="19"/>
          <w:lang w:val="en-US"/>
        </w:rPr>
      </w:pPr>
    </w:p>
    <w:p w14:paraId="3CBAD988" w14:textId="77777777" w:rsidR="00E07BB3" w:rsidRPr="008F7229" w:rsidRDefault="00E8653F">
      <w:pPr>
        <w:jc w:val="both"/>
        <w:rPr>
          <w:rFonts w:ascii="Arial" w:eastAsia="Arial" w:hAnsi="Arial" w:cs="Arial"/>
          <w:szCs w:val="19"/>
        </w:rPr>
      </w:pPr>
      <w:r w:rsidRPr="008F7229">
        <w:rPr>
          <w:rFonts w:ascii="Arial" w:eastAsia="Arial" w:hAnsi="Arial" w:cs="Arial"/>
          <w:szCs w:val="19"/>
          <w:lang w:val="en-US"/>
        </w:rPr>
        <w:t xml:space="preserve">ROSIÈRE C.A. &amp; CHEMALE F. 2000. Brazilian iron formations and their geological setting. </w:t>
      </w:r>
      <w:r w:rsidRPr="008F7229">
        <w:rPr>
          <w:rFonts w:ascii="Arial" w:eastAsia="Arial" w:hAnsi="Arial" w:cs="Arial"/>
          <w:szCs w:val="19"/>
        </w:rPr>
        <w:t>Revista Brasileira de Geociências, 30:274-278.</w:t>
      </w:r>
    </w:p>
    <w:p w14:paraId="673804C7" w14:textId="77777777" w:rsidR="00E07BB3" w:rsidRPr="008F7229" w:rsidRDefault="00E07BB3">
      <w:pPr>
        <w:jc w:val="both"/>
        <w:rPr>
          <w:rFonts w:ascii="Arial" w:eastAsia="Arial" w:hAnsi="Arial" w:cs="Arial"/>
          <w:szCs w:val="19"/>
        </w:rPr>
      </w:pPr>
    </w:p>
    <w:p w14:paraId="6B1C4658" w14:textId="77777777" w:rsidR="00E07BB3" w:rsidRPr="008F7229" w:rsidRDefault="00E8653F">
      <w:pPr>
        <w:jc w:val="both"/>
        <w:rPr>
          <w:rFonts w:ascii="Arial" w:eastAsia="Arial" w:hAnsi="Arial" w:cs="Arial"/>
          <w:szCs w:val="19"/>
        </w:rPr>
      </w:pPr>
      <w:r w:rsidRPr="008F7229">
        <w:rPr>
          <w:rFonts w:ascii="Arial" w:eastAsia="Arial" w:hAnsi="Arial" w:cs="Arial"/>
          <w:szCs w:val="19"/>
        </w:rPr>
        <w:t>ROSSI, D. Q. &amp; ENDO, I. 2015. A structural model of the Fábrica Nova region, Santa Rita syncline, Quadrilátero Ferrífero: flanking folds as a folding mechanism. Revista Escola de Minas, Ouro Preto, 68(2), 153-162.</w:t>
      </w:r>
    </w:p>
    <w:p w14:paraId="0CE233AE" w14:textId="77777777" w:rsidR="00E07BB3" w:rsidRPr="008F7229" w:rsidRDefault="00E07BB3">
      <w:pPr>
        <w:jc w:val="both"/>
        <w:rPr>
          <w:rFonts w:ascii="Arial" w:eastAsia="Arial" w:hAnsi="Arial" w:cs="Arial"/>
          <w:szCs w:val="19"/>
        </w:rPr>
      </w:pPr>
    </w:p>
    <w:p w14:paraId="5CE546A4" w14:textId="77777777" w:rsidR="00E07BB3" w:rsidRPr="008F7229" w:rsidRDefault="00E8653F">
      <w:pPr>
        <w:jc w:val="both"/>
        <w:rPr>
          <w:rFonts w:ascii="Arial" w:eastAsia="Arial" w:hAnsi="Arial" w:cs="Arial"/>
          <w:szCs w:val="19"/>
        </w:rPr>
      </w:pPr>
      <w:r w:rsidRPr="008F7229">
        <w:rPr>
          <w:rFonts w:ascii="Arial" w:eastAsia="Arial" w:hAnsi="Arial" w:cs="Arial"/>
          <w:szCs w:val="19"/>
        </w:rPr>
        <w:t xml:space="preserve">TRZASKOS, B.; ALKMIM, F.F.; ZAVAGLIA, G. 2011. Arcabouço estrutural e microestruturas do minério de ferro da jazida de Casa de Pedra, Quadrilátero Ferrífero, MG. Revista Brasileira de Geociências, 41:486-497. </w:t>
      </w:r>
    </w:p>
    <w:sectPr w:rsidR="00E07BB3" w:rsidRPr="008F7229" w:rsidSect="00CA3984">
      <w:pgSz w:w="11906" w:h="16838"/>
      <w:pgMar w:top="1418" w:right="1418" w:bottom="1418" w:left="1418" w:header="0" w:footer="720" w:gutter="0"/>
      <w:lnNumType w:countBy="1" w:restart="continuous"/>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A95AAB"/>
    <w:multiLevelType w:val="multilevel"/>
    <w:tmpl w:val="4C363EF6"/>
    <w:lvl w:ilvl="0">
      <w:start w:val="4"/>
      <w:numFmt w:val="decimal"/>
      <w:lvlText w:val="%1"/>
      <w:lvlJc w:val="left"/>
      <w:pPr>
        <w:ind w:left="785" w:firstLine="425"/>
      </w:pPr>
      <w:rPr>
        <w:sz w:val="24"/>
        <w:vertAlign w:val="baseline"/>
      </w:rPr>
    </w:lvl>
    <w:lvl w:ilvl="1">
      <w:start w:val="1"/>
      <w:numFmt w:val="lowerLetter"/>
      <w:lvlText w:val="%2."/>
      <w:lvlJc w:val="left"/>
      <w:pPr>
        <w:ind w:left="1505" w:firstLine="1145"/>
      </w:pPr>
      <w:rPr>
        <w:vertAlign w:val="baseline"/>
      </w:rPr>
    </w:lvl>
    <w:lvl w:ilvl="2">
      <w:start w:val="1"/>
      <w:numFmt w:val="lowerRoman"/>
      <w:lvlText w:val="%2.%3."/>
      <w:lvlJc w:val="right"/>
      <w:pPr>
        <w:ind w:left="2225" w:firstLine="2045"/>
      </w:pPr>
      <w:rPr>
        <w:vertAlign w:val="baseline"/>
      </w:rPr>
    </w:lvl>
    <w:lvl w:ilvl="3">
      <w:start w:val="1"/>
      <w:numFmt w:val="decimal"/>
      <w:lvlText w:val="%2.%3.%4."/>
      <w:lvlJc w:val="left"/>
      <w:pPr>
        <w:ind w:left="2945" w:firstLine="2585"/>
      </w:pPr>
      <w:rPr>
        <w:vertAlign w:val="baseline"/>
      </w:rPr>
    </w:lvl>
    <w:lvl w:ilvl="4">
      <w:start w:val="1"/>
      <w:numFmt w:val="lowerLetter"/>
      <w:lvlText w:val="%2.%3.%4.%5."/>
      <w:lvlJc w:val="left"/>
      <w:pPr>
        <w:ind w:left="3665" w:firstLine="3305"/>
      </w:pPr>
      <w:rPr>
        <w:vertAlign w:val="baseline"/>
      </w:rPr>
    </w:lvl>
    <w:lvl w:ilvl="5">
      <w:start w:val="1"/>
      <w:numFmt w:val="lowerRoman"/>
      <w:lvlText w:val="%2.%3.%4.%5.%6."/>
      <w:lvlJc w:val="right"/>
      <w:pPr>
        <w:ind w:left="4385" w:firstLine="4205"/>
      </w:pPr>
      <w:rPr>
        <w:vertAlign w:val="baseline"/>
      </w:rPr>
    </w:lvl>
    <w:lvl w:ilvl="6">
      <w:start w:val="1"/>
      <w:numFmt w:val="decimal"/>
      <w:lvlText w:val="%2.%3.%4.%5.%6.%7."/>
      <w:lvlJc w:val="left"/>
      <w:pPr>
        <w:ind w:left="5105" w:firstLine="4745"/>
      </w:pPr>
      <w:rPr>
        <w:vertAlign w:val="baseline"/>
      </w:rPr>
    </w:lvl>
    <w:lvl w:ilvl="7">
      <w:start w:val="1"/>
      <w:numFmt w:val="lowerLetter"/>
      <w:lvlText w:val="%2.%3.%4.%5.%6.%7.%8."/>
      <w:lvlJc w:val="left"/>
      <w:pPr>
        <w:ind w:left="5825" w:firstLine="5465"/>
      </w:pPr>
      <w:rPr>
        <w:vertAlign w:val="baseline"/>
      </w:rPr>
    </w:lvl>
    <w:lvl w:ilvl="8">
      <w:start w:val="1"/>
      <w:numFmt w:val="lowerRoman"/>
      <w:lvlText w:val="%2.%3.%4.%5.%6.%7.%8.%9."/>
      <w:lvlJc w:val="right"/>
      <w:pPr>
        <w:ind w:left="6545" w:firstLine="6365"/>
      </w:pPr>
      <w:rPr>
        <w:vertAlign w:val="baseline"/>
      </w:rPr>
    </w:lvl>
  </w:abstractNum>
  <w:abstractNum w:abstractNumId="1" w15:restartNumberingAfterBreak="0">
    <w:nsid w:val="7CE83431"/>
    <w:multiLevelType w:val="multilevel"/>
    <w:tmpl w:val="073CEBBA"/>
    <w:lvl w:ilvl="0">
      <w:start w:val="1"/>
      <w:numFmt w:val="decimal"/>
      <w:lvlText w:val="%1"/>
      <w:lvlJc w:val="left"/>
      <w:pPr>
        <w:ind w:left="785" w:firstLine="425"/>
      </w:pPr>
      <w:rPr>
        <w:b/>
        <w:sz w:val="24"/>
        <w:szCs w:val="24"/>
        <w:vertAlign w:val="baseline"/>
      </w:rPr>
    </w:lvl>
    <w:lvl w:ilvl="1">
      <w:start w:val="1"/>
      <w:numFmt w:val="lowerLetter"/>
      <w:lvlText w:val="%2."/>
      <w:lvlJc w:val="left"/>
      <w:pPr>
        <w:ind w:left="1505" w:firstLine="1145"/>
      </w:pPr>
      <w:rPr>
        <w:vertAlign w:val="baseline"/>
      </w:rPr>
    </w:lvl>
    <w:lvl w:ilvl="2">
      <w:start w:val="1"/>
      <w:numFmt w:val="lowerRoman"/>
      <w:lvlText w:val="%2.%3."/>
      <w:lvlJc w:val="right"/>
      <w:pPr>
        <w:ind w:left="2225" w:firstLine="2045"/>
      </w:pPr>
      <w:rPr>
        <w:vertAlign w:val="baseline"/>
      </w:rPr>
    </w:lvl>
    <w:lvl w:ilvl="3">
      <w:start w:val="1"/>
      <w:numFmt w:val="decimal"/>
      <w:lvlText w:val="%2.%3.%4."/>
      <w:lvlJc w:val="left"/>
      <w:pPr>
        <w:ind w:left="2945" w:firstLine="2585"/>
      </w:pPr>
      <w:rPr>
        <w:vertAlign w:val="baseline"/>
      </w:rPr>
    </w:lvl>
    <w:lvl w:ilvl="4">
      <w:start w:val="1"/>
      <w:numFmt w:val="lowerLetter"/>
      <w:lvlText w:val="%2.%3.%4.%5."/>
      <w:lvlJc w:val="left"/>
      <w:pPr>
        <w:ind w:left="3665" w:firstLine="3305"/>
      </w:pPr>
      <w:rPr>
        <w:vertAlign w:val="baseline"/>
      </w:rPr>
    </w:lvl>
    <w:lvl w:ilvl="5">
      <w:start w:val="1"/>
      <w:numFmt w:val="lowerRoman"/>
      <w:lvlText w:val="%2.%3.%4.%5.%6."/>
      <w:lvlJc w:val="right"/>
      <w:pPr>
        <w:ind w:left="4385" w:firstLine="4205"/>
      </w:pPr>
      <w:rPr>
        <w:vertAlign w:val="baseline"/>
      </w:rPr>
    </w:lvl>
    <w:lvl w:ilvl="6">
      <w:start w:val="1"/>
      <w:numFmt w:val="decimal"/>
      <w:lvlText w:val="%2.%3.%4.%5.%6.%7."/>
      <w:lvlJc w:val="left"/>
      <w:pPr>
        <w:ind w:left="5105" w:firstLine="4745"/>
      </w:pPr>
      <w:rPr>
        <w:vertAlign w:val="baseline"/>
      </w:rPr>
    </w:lvl>
    <w:lvl w:ilvl="7">
      <w:start w:val="1"/>
      <w:numFmt w:val="lowerLetter"/>
      <w:lvlText w:val="%2.%3.%4.%5.%6.%7.%8."/>
      <w:lvlJc w:val="left"/>
      <w:pPr>
        <w:ind w:left="5825" w:firstLine="5465"/>
      </w:pPr>
      <w:rPr>
        <w:vertAlign w:val="baseline"/>
      </w:rPr>
    </w:lvl>
    <w:lvl w:ilvl="8">
      <w:start w:val="1"/>
      <w:numFmt w:val="lowerRoman"/>
      <w:lvlText w:val="%2.%3.%4.%5.%6.%7.%8.%9."/>
      <w:lvlJc w:val="right"/>
      <w:pPr>
        <w:ind w:left="6545" w:firstLine="6365"/>
      </w:pPr>
      <w:rPr>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BB3"/>
    <w:rsid w:val="000034E5"/>
    <w:rsid w:val="00050D2C"/>
    <w:rsid w:val="00070C7C"/>
    <w:rsid w:val="00092E34"/>
    <w:rsid w:val="000D401B"/>
    <w:rsid w:val="00107DE7"/>
    <w:rsid w:val="001541D7"/>
    <w:rsid w:val="00161857"/>
    <w:rsid w:val="001B39FB"/>
    <w:rsid w:val="001B3DB2"/>
    <w:rsid w:val="001D1A50"/>
    <w:rsid w:val="001D3AC9"/>
    <w:rsid w:val="001F1FD7"/>
    <w:rsid w:val="00206FAB"/>
    <w:rsid w:val="00207ED4"/>
    <w:rsid w:val="002602F4"/>
    <w:rsid w:val="00270B3E"/>
    <w:rsid w:val="002768BD"/>
    <w:rsid w:val="002E0315"/>
    <w:rsid w:val="00343007"/>
    <w:rsid w:val="003536B9"/>
    <w:rsid w:val="0036192B"/>
    <w:rsid w:val="0039108F"/>
    <w:rsid w:val="003A1AD1"/>
    <w:rsid w:val="003A401E"/>
    <w:rsid w:val="003D0D96"/>
    <w:rsid w:val="003E5EE1"/>
    <w:rsid w:val="003F690D"/>
    <w:rsid w:val="0041118F"/>
    <w:rsid w:val="00426CBB"/>
    <w:rsid w:val="0047755D"/>
    <w:rsid w:val="00480DAB"/>
    <w:rsid w:val="004A28B4"/>
    <w:rsid w:val="00542ABB"/>
    <w:rsid w:val="00543054"/>
    <w:rsid w:val="00581469"/>
    <w:rsid w:val="005F3C38"/>
    <w:rsid w:val="00661D23"/>
    <w:rsid w:val="006670B0"/>
    <w:rsid w:val="0067450A"/>
    <w:rsid w:val="006B287D"/>
    <w:rsid w:val="006B723B"/>
    <w:rsid w:val="006E6E91"/>
    <w:rsid w:val="006F221A"/>
    <w:rsid w:val="006F543C"/>
    <w:rsid w:val="00703CF3"/>
    <w:rsid w:val="00705E12"/>
    <w:rsid w:val="007262DD"/>
    <w:rsid w:val="007506F3"/>
    <w:rsid w:val="007A1E38"/>
    <w:rsid w:val="007C0BA1"/>
    <w:rsid w:val="008307DD"/>
    <w:rsid w:val="00831388"/>
    <w:rsid w:val="00836FB4"/>
    <w:rsid w:val="00842E93"/>
    <w:rsid w:val="0085341D"/>
    <w:rsid w:val="00860EFF"/>
    <w:rsid w:val="0088207F"/>
    <w:rsid w:val="008A6E96"/>
    <w:rsid w:val="008F7229"/>
    <w:rsid w:val="0092538D"/>
    <w:rsid w:val="00956C3F"/>
    <w:rsid w:val="00975132"/>
    <w:rsid w:val="00993586"/>
    <w:rsid w:val="009A04B1"/>
    <w:rsid w:val="009A196A"/>
    <w:rsid w:val="009A4C41"/>
    <w:rsid w:val="009B482D"/>
    <w:rsid w:val="009F1206"/>
    <w:rsid w:val="00A137E5"/>
    <w:rsid w:val="00A357AF"/>
    <w:rsid w:val="00A630B8"/>
    <w:rsid w:val="00AA5147"/>
    <w:rsid w:val="00AF5450"/>
    <w:rsid w:val="00B0783B"/>
    <w:rsid w:val="00B12050"/>
    <w:rsid w:val="00B421F1"/>
    <w:rsid w:val="00B50244"/>
    <w:rsid w:val="00B54031"/>
    <w:rsid w:val="00B603F8"/>
    <w:rsid w:val="00B933AA"/>
    <w:rsid w:val="00BB0DB6"/>
    <w:rsid w:val="00C02393"/>
    <w:rsid w:val="00C24384"/>
    <w:rsid w:val="00C9633A"/>
    <w:rsid w:val="00CA3984"/>
    <w:rsid w:val="00CB6E37"/>
    <w:rsid w:val="00CC3062"/>
    <w:rsid w:val="00CC35FF"/>
    <w:rsid w:val="00CC6DD3"/>
    <w:rsid w:val="00CF2A5E"/>
    <w:rsid w:val="00D02588"/>
    <w:rsid w:val="00D111A1"/>
    <w:rsid w:val="00D20170"/>
    <w:rsid w:val="00D41945"/>
    <w:rsid w:val="00D42215"/>
    <w:rsid w:val="00D50F3B"/>
    <w:rsid w:val="00D5642F"/>
    <w:rsid w:val="00DA1216"/>
    <w:rsid w:val="00E07BB3"/>
    <w:rsid w:val="00E34214"/>
    <w:rsid w:val="00E40C18"/>
    <w:rsid w:val="00E4179C"/>
    <w:rsid w:val="00E8653F"/>
    <w:rsid w:val="00EE6961"/>
    <w:rsid w:val="00F05F3D"/>
    <w:rsid w:val="00F06829"/>
    <w:rsid w:val="00F64DAA"/>
    <w:rsid w:val="00FA2EB6"/>
    <w:rsid w:val="00FA3B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7FB3A"/>
  <w15:docId w15:val="{F5DA5839-AA7D-498A-9211-529210938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pt-BR" w:eastAsia="pt-BR"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sz w:val="24"/>
      <w:szCs w:val="24"/>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character" w:styleId="Nmerodelinha">
    <w:name w:val="line number"/>
    <w:basedOn w:val="Fontepargpadro"/>
    <w:uiPriority w:val="99"/>
    <w:semiHidden/>
    <w:unhideWhenUsed/>
    <w:rsid w:val="00CA3984"/>
  </w:style>
  <w:style w:type="paragraph" w:styleId="Textodebalo">
    <w:name w:val="Balloon Text"/>
    <w:basedOn w:val="Normal"/>
    <w:link w:val="TextodebaloChar"/>
    <w:uiPriority w:val="99"/>
    <w:semiHidden/>
    <w:unhideWhenUsed/>
    <w:rsid w:val="00CA3984"/>
    <w:rPr>
      <w:rFonts w:ascii="Tahoma" w:hAnsi="Tahoma" w:cs="Tahoma"/>
      <w:sz w:val="16"/>
      <w:szCs w:val="16"/>
    </w:rPr>
  </w:style>
  <w:style w:type="character" w:customStyle="1" w:styleId="TextodebaloChar">
    <w:name w:val="Texto de balão Char"/>
    <w:basedOn w:val="Fontepargpadro"/>
    <w:link w:val="Textodebalo"/>
    <w:uiPriority w:val="99"/>
    <w:semiHidden/>
    <w:rsid w:val="00CA3984"/>
    <w:rPr>
      <w:rFonts w:ascii="Tahoma" w:hAnsi="Tahoma" w:cs="Tahoma"/>
      <w:sz w:val="16"/>
      <w:szCs w:val="16"/>
    </w:rPr>
  </w:style>
  <w:style w:type="character" w:styleId="Refdecomentrio">
    <w:name w:val="annotation reference"/>
    <w:basedOn w:val="Fontepargpadro"/>
    <w:uiPriority w:val="99"/>
    <w:semiHidden/>
    <w:unhideWhenUsed/>
    <w:rsid w:val="0088207F"/>
    <w:rPr>
      <w:sz w:val="16"/>
      <w:szCs w:val="16"/>
    </w:rPr>
  </w:style>
  <w:style w:type="paragraph" w:styleId="Textodecomentrio">
    <w:name w:val="annotation text"/>
    <w:basedOn w:val="Normal"/>
    <w:link w:val="TextodecomentrioChar"/>
    <w:uiPriority w:val="99"/>
    <w:semiHidden/>
    <w:unhideWhenUsed/>
    <w:rsid w:val="0088207F"/>
  </w:style>
  <w:style w:type="character" w:customStyle="1" w:styleId="TextodecomentrioChar">
    <w:name w:val="Texto de comentário Char"/>
    <w:basedOn w:val="Fontepargpadro"/>
    <w:link w:val="Textodecomentrio"/>
    <w:uiPriority w:val="99"/>
    <w:semiHidden/>
    <w:rsid w:val="0088207F"/>
  </w:style>
  <w:style w:type="paragraph" w:styleId="Assuntodocomentrio">
    <w:name w:val="annotation subject"/>
    <w:basedOn w:val="Textodecomentrio"/>
    <w:next w:val="Textodecomentrio"/>
    <w:link w:val="AssuntodocomentrioChar"/>
    <w:uiPriority w:val="99"/>
    <w:semiHidden/>
    <w:unhideWhenUsed/>
    <w:rsid w:val="0088207F"/>
    <w:rPr>
      <w:b/>
      <w:bCs/>
    </w:rPr>
  </w:style>
  <w:style w:type="character" w:customStyle="1" w:styleId="AssuntodocomentrioChar">
    <w:name w:val="Assunto do comentário Char"/>
    <w:basedOn w:val="TextodecomentrioChar"/>
    <w:link w:val="Assuntodocomentrio"/>
    <w:uiPriority w:val="99"/>
    <w:semiHidden/>
    <w:rsid w:val="0088207F"/>
    <w:rPr>
      <w:b/>
      <w:bCs/>
    </w:rPr>
  </w:style>
  <w:style w:type="paragraph" w:styleId="PargrafodaLista">
    <w:name w:val="List Paragraph"/>
    <w:basedOn w:val="Normal"/>
    <w:uiPriority w:val="34"/>
    <w:qFormat/>
    <w:rsid w:val="00D422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703604-529D-439B-8D8D-B6B7F4249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4577</Words>
  <Characters>24719</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Júlia Dantas</dc:creator>
  <cp:lastModifiedBy>Julia</cp:lastModifiedBy>
  <cp:revision>2</cp:revision>
  <dcterms:created xsi:type="dcterms:W3CDTF">2017-10-16T15:02:00Z</dcterms:created>
  <dcterms:modified xsi:type="dcterms:W3CDTF">2017-10-16T15:02:00Z</dcterms:modified>
</cp:coreProperties>
</file>