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ab/>
      </w:r>
      <w:proofErr w:type="spellStart"/>
      <w:r w:rsidR="005C59BA">
        <w:rPr>
          <w:rFonts w:ascii="Arial" w:hAnsi="Arial" w:cs="Arial"/>
          <w:spacing w:val="4"/>
          <w:sz w:val="24"/>
          <w:szCs w:val="24"/>
          <w:lang w:val="pt-BR"/>
        </w:rPr>
        <w:t>Sub-Anexos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- Gráficos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bookmarkStart w:id="0" w:name="_GoBack"/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drawing>
          <wp:inline distT="0" distB="0" distL="0" distR="0" wp14:anchorId="5845FBB8" wp14:editId="0FD6B623">
            <wp:extent cx="9253220" cy="4371975"/>
            <wp:effectExtent l="0" t="0" r="508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_vip_plot1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1 – VIP para a predição de Vazão Total</w:t>
      </w: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3B160C98" wp14:editId="57EDFFAE">
            <wp:extent cx="9253220" cy="4418965"/>
            <wp:effectExtent l="0" t="0" r="508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_vip_plot1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2 – VIP para a predição de Fluxo Rápido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60769598" wp14:editId="4055CAD3">
            <wp:extent cx="9253220" cy="4492625"/>
            <wp:effectExtent l="0" t="0" r="508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_vip_plot1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Gráfico 3 – VIP para a predição de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Interfluxo</w:t>
      </w:r>
      <w:proofErr w:type="spellEnd"/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3652DBFE" wp14:editId="23CE62DC">
            <wp:extent cx="9253220" cy="4378960"/>
            <wp:effectExtent l="0" t="0" r="508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_vip_plot1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4 – VIP para a predição de Fluxo de Base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3FB3659E" wp14:editId="604E341D">
            <wp:extent cx="9253220" cy="3911600"/>
            <wp:effectExtent l="0" t="0" r="508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_coef_plot1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5 – Coeficientes padronizados para predição de Vazão Total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333234F2" wp14:editId="2825FDC9">
            <wp:extent cx="9253220" cy="4412615"/>
            <wp:effectExtent l="0" t="0" r="5080" b="69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_coef_plot1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6 – Coeficientes padronizados para predição de Fluxo Rápido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5485C1A3" wp14:editId="2A627E35">
            <wp:extent cx="9253220" cy="4391660"/>
            <wp:effectExtent l="0" t="0" r="508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_coef_plot1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Gráfico 7 – Coeficientes padronizados para predição de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Interfluxo</w:t>
      </w:r>
      <w:proofErr w:type="spellEnd"/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450C8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1F9071A0" wp14:editId="0363CDB6">
            <wp:extent cx="9253220" cy="4480560"/>
            <wp:effectExtent l="0" t="0" r="508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_coef_plot1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8 – Coeficientes padronizados para predição de Fluxo de Base.</w:t>
      </w:r>
    </w:p>
    <w:p w:rsidR="005748BA" w:rsidRPr="00C47A2A" w:rsidRDefault="005748BA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drawing>
          <wp:inline distT="0" distB="0" distL="0" distR="0" wp14:anchorId="26D776A4" wp14:editId="32EF3BE8">
            <wp:extent cx="9253220" cy="3959860"/>
            <wp:effectExtent l="0" t="0" r="5080" b="254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_scatter_loadings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9 – Gráfico com as cargas (</w:t>
      </w:r>
      <w:proofErr w:type="spellStart"/>
      <w:r w:rsidRPr="00C47A2A">
        <w:rPr>
          <w:rFonts w:ascii="Arial" w:hAnsi="Arial" w:cs="Arial"/>
          <w:i/>
          <w:spacing w:val="4"/>
          <w:sz w:val="24"/>
          <w:szCs w:val="24"/>
          <w:lang w:val="pt-BR"/>
        </w:rPr>
        <w:t>loadings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>) das variáveis sobre os dois eixos dos componentes da regressão PLS para Vazão Total</w:t>
      </w: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1EDA1451" wp14:editId="2F4A2385">
            <wp:extent cx="9253220" cy="3938905"/>
            <wp:effectExtent l="0" t="0" r="5080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_scatter_loadings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10 – Gráfico com as cargas (</w:t>
      </w:r>
      <w:proofErr w:type="spellStart"/>
      <w:r w:rsidRPr="00C47A2A">
        <w:rPr>
          <w:rFonts w:ascii="Arial" w:hAnsi="Arial" w:cs="Arial"/>
          <w:i/>
          <w:spacing w:val="4"/>
          <w:sz w:val="24"/>
          <w:szCs w:val="24"/>
          <w:lang w:val="pt-BR"/>
        </w:rPr>
        <w:t>loadings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) das variáveis sobre os dois eixos dos componentes da regressão PLS para </w:t>
      </w:r>
      <w:r w:rsidR="00842AEB" w:rsidRPr="00C47A2A">
        <w:rPr>
          <w:rFonts w:ascii="Arial" w:hAnsi="Arial" w:cs="Arial"/>
          <w:spacing w:val="4"/>
          <w:sz w:val="24"/>
          <w:szCs w:val="24"/>
          <w:lang w:val="pt-BR"/>
        </w:rPr>
        <w:t>Fluxo Rápido</w:t>
      </w: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4A4172B8" wp14:editId="4BDAC8AC">
            <wp:extent cx="9253220" cy="3952240"/>
            <wp:effectExtent l="0" t="0" r="508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_scatter_loadings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  <w:sectPr w:rsidR="00450C85" w:rsidRPr="00C47A2A" w:rsidSect="005748BA">
          <w:headerReference w:type="default" r:id="rId20"/>
          <w:footerReference w:type="default" r:id="rId21"/>
          <w:pgSz w:w="16840" w:h="11907" w:orient="landscape" w:code="9"/>
          <w:pgMar w:top="1134" w:right="1134" w:bottom="1134" w:left="1134" w:header="720" w:footer="720" w:gutter="0"/>
          <w:cols w:space="720"/>
          <w:docGrid w:linePitch="360"/>
        </w:sect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11 – Gráfico com as cargas (</w:t>
      </w:r>
      <w:proofErr w:type="spellStart"/>
      <w:r w:rsidRPr="00C47A2A">
        <w:rPr>
          <w:rFonts w:ascii="Arial" w:hAnsi="Arial" w:cs="Arial"/>
          <w:i/>
          <w:spacing w:val="4"/>
          <w:sz w:val="24"/>
          <w:szCs w:val="24"/>
          <w:lang w:val="pt-BR"/>
        </w:rPr>
        <w:t>loadings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) das variáveis sobre os dois eixos dos componentes da regressão PLS para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Interfluxo</w:t>
      </w:r>
      <w:proofErr w:type="spellEnd"/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5D813F29" wp14:editId="4260F597">
            <wp:extent cx="9253220" cy="3933825"/>
            <wp:effectExtent l="0" t="0" r="508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_scater_loadings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450C85" w:rsidRPr="00C47A2A" w:rsidRDefault="00450C85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  <w:sectPr w:rsidR="00450C85" w:rsidRPr="00C47A2A" w:rsidSect="005748BA">
          <w:pgSz w:w="16840" w:h="11907" w:orient="landscape" w:code="9"/>
          <w:pgMar w:top="1134" w:right="1134" w:bottom="1134" w:left="1134" w:header="720" w:footer="720" w:gutter="0"/>
          <w:cols w:space="720"/>
          <w:docGrid w:linePitch="360"/>
        </w:sect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Gráfico 12 – Gráfico com as cargas (</w:t>
      </w:r>
      <w:proofErr w:type="spellStart"/>
      <w:r w:rsidRPr="00C47A2A">
        <w:rPr>
          <w:rFonts w:ascii="Arial" w:hAnsi="Arial" w:cs="Arial"/>
          <w:i/>
          <w:spacing w:val="4"/>
          <w:sz w:val="24"/>
          <w:szCs w:val="24"/>
          <w:lang w:val="pt-BR"/>
        </w:rPr>
        <w:t>loadings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>) das variáveis sobre os dois eixos dos componentes da regressão PLS para Fluxo de Base</w:t>
      </w:r>
    </w:p>
    <w:p w:rsidR="005748BA" w:rsidRPr="00C47A2A" w:rsidRDefault="005C59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proofErr w:type="spellStart"/>
      <w:proofErr w:type="gramStart"/>
      <w:r>
        <w:rPr>
          <w:rFonts w:ascii="Arial" w:hAnsi="Arial" w:cs="Arial"/>
          <w:spacing w:val="4"/>
          <w:sz w:val="24"/>
          <w:szCs w:val="24"/>
          <w:lang w:val="pt-BR"/>
        </w:rPr>
        <w:lastRenderedPageBreak/>
        <w:t>Sub-anexos</w:t>
      </w:r>
      <w:proofErr w:type="spellEnd"/>
      <w:proofErr w:type="gramEnd"/>
      <w:r w:rsidR="005748BA"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 Mapas de variáveis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drawing>
          <wp:inline distT="0" distB="0" distL="0" distR="0" wp14:anchorId="1CBA78B3" wp14:editId="38B53282">
            <wp:extent cx="6120765" cy="762571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fic_flows_components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Figura </w:t>
      </w:r>
      <w:r w:rsidR="005C59BA">
        <w:rPr>
          <w:rFonts w:ascii="Arial" w:hAnsi="Arial" w:cs="Arial"/>
          <w:spacing w:val="4"/>
          <w:sz w:val="24"/>
          <w:szCs w:val="24"/>
          <w:lang w:val="pt-BR"/>
        </w:rPr>
        <w:t>1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 Mapa com a vazão específica e os componentes de fluxo de cada seção da bacia hidrográfica.</w:t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drawing>
          <wp:inline distT="0" distB="0" distL="0" distR="0" wp14:anchorId="1A5F8A02" wp14:editId="5E3E2DF7">
            <wp:extent cx="6120765" cy="7858760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agas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Figura </w:t>
      </w:r>
      <w:r w:rsidR="005C59BA">
        <w:rPr>
          <w:rFonts w:ascii="Arial" w:hAnsi="Arial" w:cs="Arial"/>
          <w:spacing w:val="4"/>
          <w:sz w:val="24"/>
          <w:szCs w:val="24"/>
          <w:lang w:val="pt-BR"/>
        </w:rPr>
        <w:t>2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 Mapas com as características os poços perfurados, constantes no sistema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Siagas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>.</w:t>
      </w:r>
    </w:p>
    <w:p w:rsidR="00752935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12764243" wp14:editId="5DD8BC89">
            <wp:extent cx="6121188" cy="61595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es_altitude_tese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765" cy="61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Figura </w:t>
      </w:r>
      <w:r w:rsidR="005C59BA">
        <w:rPr>
          <w:rFonts w:ascii="Arial" w:hAnsi="Arial" w:cs="Arial"/>
          <w:spacing w:val="4"/>
          <w:sz w:val="24"/>
          <w:szCs w:val="24"/>
          <w:lang w:val="pt-BR"/>
        </w:rPr>
        <w:t>3a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</w:t>
      </w:r>
      <w:r w:rsidR="005C3656"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Mapas com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</w:t>
      </w:r>
      <w:r w:rsidR="005C3656" w:rsidRPr="00C47A2A">
        <w:rPr>
          <w:rFonts w:ascii="Arial" w:hAnsi="Arial" w:cs="Arial"/>
          <w:spacing w:val="4"/>
          <w:sz w:val="24"/>
          <w:szCs w:val="24"/>
          <w:lang w:val="pt-BR"/>
        </w:rPr>
        <w:t>v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>ariáveis dependentes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5EC5B673" wp14:editId="61F53C15">
            <wp:extent cx="6115050" cy="8182987"/>
            <wp:effectExtent l="0" t="0" r="0" b="88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es_modelos_regressao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7249" cy="818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Figura </w:t>
      </w:r>
      <w:r w:rsidR="005C59BA">
        <w:rPr>
          <w:rFonts w:ascii="Arial" w:hAnsi="Arial" w:cs="Arial"/>
          <w:spacing w:val="4"/>
          <w:sz w:val="24"/>
          <w:szCs w:val="24"/>
          <w:lang w:val="pt-BR"/>
        </w:rPr>
        <w:t>3b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 Mapas das Variáveis Dependentes</w:t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noProof/>
          <w:spacing w:val="4"/>
          <w:sz w:val="24"/>
          <w:szCs w:val="24"/>
          <w:lang w:val="pt-BR" w:eastAsia="pt-BR"/>
        </w:rPr>
        <w:lastRenderedPageBreak/>
        <w:drawing>
          <wp:inline distT="0" distB="0" distL="0" distR="0" wp14:anchorId="180ED776" wp14:editId="0C6C7794">
            <wp:extent cx="6102350" cy="6127375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es_modelos_regressao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3188" cy="612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935" w:rsidRPr="00C47A2A" w:rsidRDefault="00752935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Figura </w:t>
      </w:r>
      <w:r w:rsidR="005C59BA">
        <w:rPr>
          <w:rFonts w:ascii="Arial" w:hAnsi="Arial" w:cs="Arial"/>
          <w:spacing w:val="4"/>
          <w:sz w:val="24"/>
          <w:szCs w:val="24"/>
          <w:lang w:val="pt-BR"/>
        </w:rPr>
        <w:t>3c</w:t>
      </w: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 Mapas com as variáveis dependentes</w:t>
      </w:r>
    </w:p>
    <w:p w:rsidR="005748BA" w:rsidRPr="00C47A2A" w:rsidRDefault="005748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  <w:sectPr w:rsidR="005C3656" w:rsidRPr="00C47A2A" w:rsidSect="006575C2">
          <w:pgSz w:w="11907" w:h="16840" w:code="9"/>
          <w:pgMar w:top="1134" w:right="1134" w:bottom="1134" w:left="1134" w:header="720" w:footer="720" w:gutter="0"/>
          <w:cols w:space="720"/>
          <w:docGrid w:linePitch="360"/>
        </w:sectPr>
      </w:pPr>
    </w:p>
    <w:p w:rsidR="005C3656" w:rsidRPr="00C47A2A" w:rsidRDefault="005C59BA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proofErr w:type="spellStart"/>
      <w:proofErr w:type="gramStart"/>
      <w:r>
        <w:rPr>
          <w:rFonts w:ascii="Arial" w:hAnsi="Arial" w:cs="Arial"/>
          <w:spacing w:val="4"/>
          <w:sz w:val="24"/>
          <w:szCs w:val="24"/>
          <w:lang w:val="pt-BR"/>
        </w:rPr>
        <w:lastRenderedPageBreak/>
        <w:t>Sub-anexo</w:t>
      </w:r>
      <w:proofErr w:type="spellEnd"/>
      <w:proofErr w:type="gramEnd"/>
      <w:r w:rsidR="005C3656"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– Explicações sobre índices utilizados para as variáveis dependentes</w:t>
      </w: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Quadro 1 – Variável obtida com o programa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Envi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4.8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811"/>
        <w:gridCol w:w="1701"/>
      </w:tblGrid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Variável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Explicação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Referência 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Declividade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Razão máxima de mudança de altitude de uma célula para com suas vizinhas.  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Obtida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por meio do cálculo do momento de derivação sobre uma superfície quadrática 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construída por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regressão polinomial a partir das bases de altimetria.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Jenness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(2011)</w:t>
            </w:r>
          </w:p>
        </w:tc>
      </w:tr>
    </w:tbl>
    <w:p w:rsidR="005C3656" w:rsidRPr="00C47A2A" w:rsidRDefault="005C3656" w:rsidP="00C47A2A">
      <w:pPr>
        <w:widowControl w:val="0"/>
        <w:tabs>
          <w:tab w:val="left" w:pos="2235"/>
          <w:tab w:val="left" w:pos="8330"/>
        </w:tabs>
        <w:spacing w:after="0" w:line="480" w:lineRule="auto"/>
        <w:ind w:left="-34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tabs>
          <w:tab w:val="left" w:pos="2235"/>
          <w:tab w:val="left" w:pos="8330"/>
        </w:tabs>
        <w:spacing w:after="0" w:line="480" w:lineRule="auto"/>
        <w:ind w:left="-34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Quadro 2 – Variáveis obtidas com o programa </w:t>
      </w:r>
      <w:proofErr w:type="spellStart"/>
      <w:proofErr w:type="gram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ArcGis</w:t>
      </w:r>
      <w:proofErr w:type="spellEnd"/>
      <w:proofErr w:type="gramEnd"/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10, extensão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Spatial</w:t>
      </w:r>
      <w:proofErr w:type="spellEnd"/>
      <w:r w:rsidRPr="00C47A2A">
        <w:rPr>
          <w:rFonts w:ascii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  <w:lang w:val="pt-BR"/>
        </w:rPr>
        <w:t>Analyst</w:t>
      </w:r>
      <w:proofErr w:type="spellEnd"/>
    </w:p>
    <w:p w:rsidR="005C3656" w:rsidRPr="00C47A2A" w:rsidRDefault="005C3656" w:rsidP="00C47A2A">
      <w:pPr>
        <w:widowControl w:val="0"/>
        <w:tabs>
          <w:tab w:val="left" w:pos="2235"/>
          <w:tab w:val="left" w:pos="8330"/>
        </w:tabs>
        <w:spacing w:after="0" w:line="480" w:lineRule="auto"/>
        <w:ind w:left="-34"/>
        <w:rPr>
          <w:rFonts w:ascii="Arial" w:hAnsi="Arial" w:cs="Arial"/>
          <w:spacing w:val="4"/>
          <w:sz w:val="24"/>
          <w:szCs w:val="24"/>
          <w:lang w:val="pt-BR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811"/>
        <w:gridCol w:w="1701"/>
      </w:tblGrid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Variável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Explicação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Referência 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Curvatura 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Trata-se da segunda derivada da superfície de elevação (a primeira derivada é a declividade). A curvatura geral é calculada a partir das </w:t>
            </w:r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8</w:t>
            </w:r>
            <w:proofErr w:type="gram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células vizinhas. A curvatura positiva indica convexidade, enquanto a curvatura negativa indica concavidade.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Jenness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(2011)</w:t>
            </w: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Módulo da Curvatura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Indica a expressividade de ondulação do terreno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Distância ao </w:t>
            </w:r>
            <w:proofErr w:type="spellStart"/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exutório</w:t>
            </w:r>
            <w:proofErr w:type="spellEnd"/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Distância de drenagem de 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cada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ponto até a foz da bacia hidrográfica (no caso, a foz da Bacia do Rio Paracatu</w:t>
            </w:r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)</w:t>
            </w:r>
            <w:proofErr w:type="gramEnd"/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Nível de Nascentes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Superfície interpolada por kriggagem ordinária exponencial com base na altitude nas nascentes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</w:tbl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spacing w:val="4"/>
          <w:sz w:val="24"/>
          <w:szCs w:val="24"/>
          <w:lang w:val="pt-BR"/>
        </w:rPr>
        <w:t>Quadro 3 – Variáveis obtidas com o programa SAGA 2.0.8</w:t>
      </w: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811"/>
        <w:gridCol w:w="1701"/>
      </w:tblGrid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Variável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Explicação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Referência 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Declividade Acumulada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Razão entre a altitude 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e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a distância horizontal entre um ponto e o divisor de águas mais alto que drena para esse ponto. Calculado por processamento paralelo das células, sobre o modelo de direção de fluxos múltiplos (MFD).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Freeman  (1991)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Quinn et al. (1991)</w:t>
            </w: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Nível de Base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Interpolação da altitude ao longo da hidrografia para o restante do terreno.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Distância vertical ao nível de base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Subtração da altitude pelo nível de base. É considerado como bastante correlacionado à profundidade até o aquífero freático.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Bock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Köthe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(2008)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Altitude até o rio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Distância vertical entre um ponto e o local da hidrografia para onde ele verte suas águas pluviais. 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Freeman (1991)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O’Callaghan (1984) 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Nobre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</w:rPr>
              <w:t xml:space="preserve">et al.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(2011)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Distância horizontal até o rio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Distância horizontal entre um ponto e o local da hidrografia para onde ele verte suas águas pluviais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Freeman (1991)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O’Callaghan (1984) 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Nobre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</w:rPr>
              <w:t xml:space="preserve">et al.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(2011)</w:t>
            </w:r>
          </w:p>
        </w:tc>
      </w:tr>
      <w:tr w:rsidR="005C3656" w:rsidRPr="00C47A2A" w:rsidTr="00732FAD">
        <w:trPr>
          <w:cantSplit/>
          <w:trHeight w:val="1264"/>
        </w:trPr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Altura de encostas</w:t>
            </w:r>
          </w:p>
        </w:tc>
        <w:tc>
          <w:tcPr>
            <w:tcW w:w="5811" w:type="dxa"/>
            <w:vMerge w:val="restart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Índices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morfométricos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mensurados com referência na linha de cumeada e no talvegue.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Os vales e encostas são definidos em razão dos pontos de sela do terreno, em função da variação de sua curvatura e de seu aspecto (azimute).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Altitude normalizada: Normalização geoestatística da altitude, entre o vale (valor </w:t>
            </w:r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0</w:t>
            </w:r>
            <w:proofErr w:type="gram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) e a cumeada (valor 1).</w:t>
            </w:r>
          </w:p>
          <w:p w:rsidR="00732FAD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Altitude Padronizada: Padronização geoestatística da altitude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geral e a altitude normalizada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, por meio do desvio padrão.</w:t>
            </w:r>
          </w:p>
          <w:p w:rsidR="00732FAD" w:rsidRPr="00C47A2A" w:rsidRDefault="00732FAD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Uma gradação do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macro-relevo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para o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micro-relevo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seria a seguinte: altitude, altitude padronizada, altitude de encosta, altitude normalizada, índice de balanço de massas.</w:t>
            </w:r>
          </w:p>
        </w:tc>
        <w:tc>
          <w:tcPr>
            <w:tcW w:w="1701" w:type="dxa"/>
            <w:vMerge w:val="restart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>Conrad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 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es-ES"/>
              </w:rPr>
              <w:t xml:space="preserve">et al.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>(2006)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Bock 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es-ES"/>
              </w:rPr>
              <w:t xml:space="preserve">et al.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(2007)</w:t>
            </w:r>
          </w:p>
        </w:tc>
      </w:tr>
      <w:tr w:rsidR="005C3656" w:rsidRPr="00C47A2A" w:rsidTr="00732FAD">
        <w:trPr>
          <w:cantSplit/>
          <w:trHeight w:val="1096"/>
        </w:trPr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Altitude normalizada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C47A2A" w:rsidTr="005C3656">
        <w:trPr>
          <w:cantSplit/>
        </w:trPr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Altitude padronizada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jc w:val="center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Índice de Balanço de Massas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Expressa o balanço entre erosão e acumulação, considerando a altura em relação à rede de drenagem, a declividade e a curvatura, por meio da integração da meia encosta da área de drenagem.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noProof/>
                <w:spacing w:val="4"/>
                <w:sz w:val="24"/>
                <w:szCs w:val="24"/>
                <w:lang w:val="pt-BR" w:eastAsia="pt-BR"/>
              </w:rPr>
              <w:drawing>
                <wp:inline distT="0" distB="0" distL="0" distR="0" wp14:anchorId="38341499" wp14:editId="41071563">
                  <wp:extent cx="3586532" cy="1225550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446"/>
                          <a:stretch/>
                        </pic:blipFill>
                        <pic:spPr bwMode="auto">
                          <a:xfrm>
                            <a:off x="0" y="0"/>
                            <a:ext cx="3594349" cy="122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>Onde CA (Área de contribuição)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STI= Índice de transporte de sedimentos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MBI = Índice de balanço de massas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lastRenderedPageBreak/>
              <w:t>Moeller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 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es-ES"/>
              </w:rPr>
              <w:t>et al.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 (2008)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>Boehner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>Selige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 (2006)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Índice topográfico de umidade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noProof/>
                <w:spacing w:val="4"/>
                <w:sz w:val="24"/>
                <w:szCs w:val="24"/>
                <w:lang w:val="pt-BR" w:eastAsia="pt-BR"/>
              </w:rPr>
              <w:drawing>
                <wp:inline distT="0" distB="0" distL="0" distR="0" wp14:anchorId="47CC4EB5" wp14:editId="03F44422">
                  <wp:extent cx="1386840" cy="556591"/>
                  <wp:effectExtent l="0" t="0" r="3810" b="0"/>
                  <wp:docPr id="26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84" cy="55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Equivale a </w:t>
            </w:r>
            <w:proofErr w:type="spellStart"/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ln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(</w:t>
            </w:r>
            <w:proofErr w:type="gram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Área Específica de drenagem / tangent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e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do ângulo da declividade).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Onde A é a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area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específica de drenagem e B é a declividade.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Área específica é a área a montante por unidade de comprimento de fluxo [m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vertAlign w:val="superscript"/>
                <w:lang w:val="pt-BR"/>
              </w:rPr>
              <w:t>2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/m=m]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Gruber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Peckham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(2008)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Beven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Kirkby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(1979): 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Boehner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Selige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(2006)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Moore </w:t>
            </w:r>
            <w:proofErr w:type="gramStart"/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pt-BR"/>
              </w:rPr>
              <w:t>et</w:t>
            </w:r>
            <w:proofErr w:type="gramEnd"/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pt-BR"/>
              </w:rPr>
              <w:t xml:space="preserve"> al.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(1991)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C47A2A" w:rsidTr="005C3656">
        <w:tc>
          <w:tcPr>
            <w:tcW w:w="2269" w:type="dxa"/>
          </w:tcPr>
          <w:p w:rsidR="005C3656" w:rsidRPr="005B6ABE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5B6ABE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Índice topográfico de escoamento subsuperficial</w:t>
            </w:r>
            <w:r w:rsidR="00407050" w:rsidRPr="005B6ABE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 (</w:t>
            </w:r>
            <w:r w:rsidR="00407050" w:rsidRPr="005B6ABE">
              <w:rPr>
                <w:rFonts w:ascii="Arial" w:hAnsi="Arial" w:cs="Arial"/>
                <w:b/>
                <w:i/>
                <w:spacing w:val="4"/>
                <w:sz w:val="24"/>
                <w:szCs w:val="24"/>
                <w:lang w:val="pt-BR"/>
              </w:rPr>
              <w:t>downslope distance gradient index</w:t>
            </w:r>
            <w:r w:rsidR="00407050" w:rsidRPr="005B6ABE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)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noProof/>
                <w:spacing w:val="4"/>
                <w:sz w:val="24"/>
                <w:szCs w:val="24"/>
                <w:lang w:val="pt-BR" w:eastAsia="pt-BR"/>
              </w:rPr>
              <w:drawing>
                <wp:inline distT="0" distB="0" distL="0" distR="0" wp14:anchorId="4CE67FAD" wp14:editId="41BCF9F2">
                  <wp:extent cx="892810" cy="482600"/>
                  <wp:effectExtent l="0" t="0" r="254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9822" r="40357" b="61538"/>
                          <a:stretch/>
                        </pic:blipFill>
                        <pic:spPr bwMode="auto">
                          <a:xfrm>
                            <a:off x="0" y="0"/>
                            <a:ext cx="89281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Onde: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L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vertAlign w:val="subscript"/>
                <w:lang w:val="pt-BR"/>
              </w:rPr>
              <w:t>d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é a distância horizontal do ponto com elevação de “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pt-BR"/>
              </w:rPr>
              <w:t>d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” metros abaixo da elevação da célula inicial, seguindo a direção de drenagem de maior inclinação.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Considera-se que essa inclinação acumulada, com </w:t>
            </w:r>
            <w:r w:rsidR="00732FAD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“d”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igual a 10 metros, possa ser um indicador da potencialidade de drenagem do solo para escoamento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subsuperficial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Hjerdt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pt-BR"/>
              </w:rPr>
              <w:t>et</w:t>
            </w:r>
            <w:proofErr w:type="gramEnd"/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  <w:lang w:val="pt-BR"/>
              </w:rPr>
              <w:t xml:space="preserve"> al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. (2004)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Índice de </w:t>
            </w: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rugosidade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 xml:space="preserve">Calcula a diferença na elevação entre a célula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 xml:space="preserve">central e suas </w:t>
            </w:r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8</w:t>
            </w:r>
            <w:proofErr w:type="gram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células vizinhas.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noProof/>
                <w:spacing w:val="4"/>
                <w:sz w:val="24"/>
                <w:szCs w:val="24"/>
                <w:lang w:val="pt-BR" w:eastAsia="pt-BR"/>
              </w:rPr>
              <w:drawing>
                <wp:inline distT="0" distB="0" distL="0" distR="0" wp14:anchorId="09CD9A8D" wp14:editId="2FAEBA56">
                  <wp:extent cx="1608850" cy="213360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88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Onde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x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vertAlign w:val="subscript"/>
                <w:lang w:val="pt-BR"/>
              </w:rPr>
              <w:t>ij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= elevação de cada célula vizinha à célula (0,0)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>Riley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</w:rPr>
              <w:t>et</w:t>
            </w:r>
            <w:proofErr w:type="gramEnd"/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</w:rPr>
              <w:t xml:space="preserve"> al.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lastRenderedPageBreak/>
              <w:t>(1999)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Índice vetorial de rugosidade</w:t>
            </w:r>
          </w:p>
        </w:tc>
        <w:tc>
          <w:tcPr>
            <w:tcW w:w="5811" w:type="dxa"/>
          </w:tcPr>
          <w:p w:rsidR="00407050" w:rsidRPr="00C47A2A" w:rsidRDefault="00407050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Índice de rugosidade baseado na dispersão vetorial do relevo.</w:t>
            </w:r>
          </w:p>
          <w:p w:rsidR="005C3656" w:rsidRPr="00C47A2A" w:rsidRDefault="00407050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I.e.</w:t>
            </w:r>
            <w:proofErr w:type="gram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, m</w:t>
            </w:r>
            <w:r w:rsidR="00DB30BE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ede a rugosidade d</w:t>
            </w:r>
            <w:r w:rsidR="005C3656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o terreno pela variação tridimensional da orientação entre as células vizinhas. A análise vetorial mede a dispersão dos vetores ortogonais (normais) em relação às células vizinhas. Esse índice é menos correlacionado com o valor da declividade do terreno do que o índice de rugosidade tradicional. A rugosidade, teoricamente, vai de </w:t>
            </w:r>
            <w:proofErr w:type="gramStart"/>
            <w:r w:rsidR="005C3656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0</w:t>
            </w:r>
            <w:proofErr w:type="gramEnd"/>
            <w:r w:rsidR="005C3656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(terreno uniforme) a 1 (variação completa do terreno).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Sappington </w:t>
            </w:r>
            <w:r w:rsidRPr="00C47A2A">
              <w:rPr>
                <w:rFonts w:ascii="Arial" w:hAnsi="Arial" w:cs="Arial"/>
                <w:i/>
                <w:spacing w:val="4"/>
                <w:sz w:val="24"/>
                <w:szCs w:val="24"/>
              </w:rPr>
              <w:t xml:space="preserve">et al.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(2007) 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Hobson (1972) 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Radiação Solar Total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Modelo que estima a soma da radiação direta e da radiação difusa, por meio da consideração da orientação e inclinação das encostas, do sombreamento da encosta oposta e do ângulo de incidência da luz solar ao longo de cada dia do ano.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iCs/>
                <w:spacing w:val="4"/>
                <w:sz w:val="24"/>
                <w:szCs w:val="24"/>
              </w:rPr>
              <w:t>Jochem</w:t>
            </w:r>
            <w:proofErr w:type="spellEnd"/>
            <w:r w:rsidRPr="00C47A2A">
              <w:rPr>
                <w:rFonts w:ascii="Arial" w:hAnsi="Arial" w:cs="Arial"/>
                <w:i/>
                <w:iCs/>
                <w:spacing w:val="4"/>
                <w:sz w:val="24"/>
                <w:szCs w:val="24"/>
              </w:rPr>
              <w:t xml:space="preserve"> et al. </w:t>
            </w:r>
            <w:r w:rsidRPr="00C47A2A">
              <w:rPr>
                <w:rFonts w:ascii="Arial" w:hAnsi="Arial" w:cs="Arial"/>
                <w:iCs/>
                <w:spacing w:val="4"/>
                <w:sz w:val="24"/>
                <w:szCs w:val="24"/>
              </w:rPr>
              <w:t>(2009)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i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iCs/>
                <w:spacing w:val="4"/>
                <w:sz w:val="24"/>
                <w:szCs w:val="24"/>
              </w:rPr>
              <w:t>NREL (2002)</w:t>
            </w: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Índice de aquecimento anisotrópico diurno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Índice que estima o potencial de aquecimento do solo tendo em consideração a orientação das encostas</w:t>
            </w:r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e a</w:t>
            </w:r>
            <w:r w:rsidR="00A235B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sua declividade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i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Dispersão de </w:t>
            </w: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fluxo</w:t>
            </w:r>
            <w:r w:rsidR="00407050"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 (</w:t>
            </w:r>
            <w:proofErr w:type="spellStart"/>
            <w:r w:rsidR="00407050" w:rsidRPr="00C47A2A">
              <w:rPr>
                <w:rFonts w:ascii="Arial" w:hAnsi="Arial" w:cs="Arial"/>
                <w:b/>
                <w:i/>
                <w:spacing w:val="4"/>
                <w:sz w:val="24"/>
                <w:szCs w:val="24"/>
                <w:lang w:val="pt-BR"/>
              </w:rPr>
              <w:t>flow</w:t>
            </w:r>
            <w:proofErr w:type="spellEnd"/>
            <w:r w:rsidR="00407050" w:rsidRPr="00C47A2A">
              <w:rPr>
                <w:rFonts w:ascii="Arial" w:hAnsi="Arial" w:cs="Arial"/>
                <w:b/>
                <w:i/>
                <w:spacing w:val="4"/>
                <w:sz w:val="24"/>
                <w:szCs w:val="24"/>
                <w:lang w:val="pt-BR"/>
              </w:rPr>
              <w:t xml:space="preserve"> </w:t>
            </w:r>
            <w:proofErr w:type="spellStart"/>
            <w:r w:rsidR="00407050" w:rsidRPr="00C47A2A">
              <w:rPr>
                <w:rFonts w:ascii="Arial" w:hAnsi="Arial" w:cs="Arial"/>
                <w:b/>
                <w:i/>
                <w:spacing w:val="4"/>
                <w:sz w:val="24"/>
                <w:szCs w:val="24"/>
                <w:lang w:val="pt-BR"/>
              </w:rPr>
              <w:t>width</w:t>
            </w:r>
            <w:proofErr w:type="spellEnd"/>
            <w:r w:rsidR="00407050" w:rsidRPr="00C47A2A">
              <w:rPr>
                <w:rFonts w:ascii="Arial" w:hAnsi="Arial" w:cs="Arial"/>
                <w:b/>
                <w:i/>
                <w:spacing w:val="4"/>
                <w:sz w:val="24"/>
                <w:szCs w:val="24"/>
                <w:lang w:val="pt-BR"/>
              </w:rPr>
              <w:t>)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>Variável calculada em razão da divisão</w:t>
            </w:r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</w:t>
            </w:r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>(divergência)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do escoamento de uma célula fonte para as células vizinha. </w:t>
            </w:r>
          </w:p>
        </w:tc>
        <w:tc>
          <w:tcPr>
            <w:tcW w:w="1701" w:type="dxa"/>
          </w:tcPr>
          <w:p w:rsidR="005C3656" w:rsidRPr="005B6ABE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5B6ABE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 xml:space="preserve">Gruber &amp; </w:t>
            </w:r>
            <w:r w:rsidRPr="005B6ABE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lastRenderedPageBreak/>
              <w:t>Peckham (2008)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5B6ABE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Quinn </w:t>
            </w:r>
            <w:r w:rsidRPr="005B6ABE">
              <w:rPr>
                <w:rFonts w:ascii="Arial" w:hAnsi="Arial" w:cs="Arial"/>
                <w:i/>
                <w:spacing w:val="4"/>
                <w:sz w:val="24"/>
                <w:szCs w:val="24"/>
                <w:lang w:val="pt-BR"/>
              </w:rPr>
              <w:t>et al.</w:t>
            </w:r>
            <w:r w:rsidRPr="005B6ABE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(1991)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Índice de convergência</w:t>
            </w:r>
          </w:p>
        </w:tc>
        <w:tc>
          <w:tcPr>
            <w:tcW w:w="581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Índice de modelagem </w:t>
            </w:r>
            <w:proofErr w:type="gram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hidrológica calculado</w:t>
            </w:r>
            <w:proofErr w:type="gram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por meio do gradiente (curvatura) e azimute, demonstrando a convergência do fluxo para a célula, em relação a suas vizinhas</w:t>
            </w:r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.</w:t>
            </w:r>
          </w:p>
        </w:tc>
        <w:tc>
          <w:tcPr>
            <w:tcW w:w="1701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Koethe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Lehmeier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(1996)</w:t>
            </w: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Fator de visão do terreno</w:t>
            </w:r>
          </w:p>
        </w:tc>
        <w:tc>
          <w:tcPr>
            <w:tcW w:w="5811" w:type="dxa"/>
            <w:vMerge w:val="restart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A visibilidade do céu pode ser compreendida com</w:t>
            </w:r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o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a porcentagem de um hemisfério de visão do céu a partir de um ponto no terreno. Por exemplo, o hemisfério visível do céu é mais amplo do alto de uma montanha do que no fundo de um vale encaixado. O fator de visão do terreno e o fator de visão do céu são parâmetros complementares para o cálculo da visibilidade do céu.</w:t>
            </w:r>
          </w:p>
        </w:tc>
        <w:tc>
          <w:tcPr>
            <w:tcW w:w="1701" w:type="dxa"/>
            <w:vMerge w:val="restart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Boehner &amp;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Antonic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(200</w:t>
            </w:r>
            <w:r w:rsidR="000D1CFF" w:rsidRPr="00C47A2A">
              <w:rPr>
                <w:rFonts w:ascii="Arial" w:hAnsi="Arial" w:cs="Arial"/>
                <w:spacing w:val="4"/>
                <w:sz w:val="24"/>
                <w:szCs w:val="24"/>
              </w:rPr>
              <w:t>9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Hantz</w:t>
            </w:r>
            <w:r w:rsidR="000D1CFF" w:rsidRPr="00C47A2A">
              <w:rPr>
                <w:rFonts w:ascii="Arial" w:hAnsi="Arial" w:cs="Arial"/>
                <w:spacing w:val="4"/>
                <w:sz w:val="24"/>
                <w:szCs w:val="24"/>
              </w:rPr>
              <w:t>s</w:t>
            </w:r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chel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et al. (2005)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</w:rPr>
            </w:pP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>Oke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</w:rPr>
              <w:t xml:space="preserve"> (2000)</w:t>
            </w:r>
          </w:p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proofErr w:type="spellStart"/>
            <w:r w:rsidRPr="00C47A2A">
              <w:rPr>
                <w:rFonts w:ascii="Arial" w:hAnsi="Arial" w:cs="Arial"/>
                <w:bCs/>
                <w:spacing w:val="4"/>
                <w:sz w:val="24"/>
                <w:szCs w:val="24"/>
                <w:lang w:val="pt-BR" w:eastAsia="pt-BR"/>
              </w:rPr>
              <w:t>Zakšek</w:t>
            </w:r>
            <w:proofErr w:type="spellEnd"/>
            <w:r w:rsidRPr="00C47A2A">
              <w:rPr>
                <w:rFonts w:ascii="Arial" w:hAnsi="Arial" w:cs="Arial"/>
                <w:bCs/>
                <w:spacing w:val="4"/>
                <w:sz w:val="24"/>
                <w:szCs w:val="24"/>
                <w:lang w:val="pt-BR" w:eastAsia="pt-BR"/>
              </w:rPr>
              <w:t xml:space="preserve"> </w:t>
            </w:r>
            <w:proofErr w:type="gramStart"/>
            <w:r w:rsidRPr="00C47A2A">
              <w:rPr>
                <w:rFonts w:ascii="Arial" w:hAnsi="Arial" w:cs="Arial"/>
                <w:bCs/>
                <w:spacing w:val="4"/>
                <w:sz w:val="24"/>
                <w:szCs w:val="24"/>
                <w:lang w:val="pt-BR" w:eastAsia="pt-BR"/>
              </w:rPr>
              <w:t>et</w:t>
            </w:r>
            <w:proofErr w:type="gramEnd"/>
            <w:r w:rsidRPr="00C47A2A">
              <w:rPr>
                <w:rFonts w:ascii="Arial" w:hAnsi="Arial" w:cs="Arial"/>
                <w:bCs/>
                <w:spacing w:val="4"/>
                <w:sz w:val="24"/>
                <w:szCs w:val="24"/>
                <w:lang w:val="pt-BR" w:eastAsia="pt-BR"/>
              </w:rPr>
              <w:t xml:space="preserve"> al. (2011)</w:t>
            </w: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Fator de visão do Céu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C47A2A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Visibilidade do Céu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Índice de barlavento predominante (NEE)</w:t>
            </w:r>
          </w:p>
        </w:tc>
        <w:tc>
          <w:tcPr>
            <w:tcW w:w="5811" w:type="dxa"/>
            <w:vMerge w:val="restart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Modelo de ventos que utiliza uma estimação da direção predominante do vento, com aceleração constante, sendo modificada pelo </w:t>
            </w:r>
            <w:proofErr w:type="spellStart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sotavento</w:t>
            </w:r>
            <w:proofErr w:type="spellEnd"/>
            <w:r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(proteção da encosta ao vento) e pelo barlavento (exposição da encosta ao vento) dentro de um raio de influência predeterminado.</w:t>
            </w:r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 xml:space="preserve"> Na Bacia do Rio Paracatu, o vento predominante é NEE (</w:t>
            </w:r>
            <w:proofErr w:type="spellStart"/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Ruralminas</w:t>
            </w:r>
            <w:proofErr w:type="spellEnd"/>
            <w:r w:rsidR="00407050" w:rsidRPr="00C47A2A"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  <w:t>, 1996).</w:t>
            </w:r>
          </w:p>
        </w:tc>
        <w:tc>
          <w:tcPr>
            <w:tcW w:w="1701" w:type="dxa"/>
            <w:vMerge w:val="restart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Índice de </w:t>
            </w:r>
            <w:proofErr w:type="spellStart"/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>sotavento</w:t>
            </w:r>
            <w:proofErr w:type="spellEnd"/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 predominante (NEE)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t xml:space="preserve">Índice de Efeito </w:t>
            </w: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do Vento predominante (NEE)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  <w:tr w:rsidR="005C3656" w:rsidRPr="00022FEB" w:rsidTr="005C3656">
        <w:tc>
          <w:tcPr>
            <w:tcW w:w="2269" w:type="dxa"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</w:pPr>
            <w:r w:rsidRPr="00C47A2A">
              <w:rPr>
                <w:rFonts w:ascii="Arial" w:hAnsi="Arial" w:cs="Arial"/>
                <w:b/>
                <w:spacing w:val="4"/>
                <w:sz w:val="24"/>
                <w:szCs w:val="24"/>
                <w:lang w:val="pt-BR"/>
              </w:rPr>
              <w:lastRenderedPageBreak/>
              <w:t>Força Efetiva do Vento predominante (NEE)</w:t>
            </w:r>
          </w:p>
        </w:tc>
        <w:tc>
          <w:tcPr>
            <w:tcW w:w="581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  <w:vMerge/>
          </w:tcPr>
          <w:p w:rsidR="005C3656" w:rsidRPr="00C47A2A" w:rsidRDefault="005C3656" w:rsidP="00C47A2A">
            <w:pPr>
              <w:widowControl w:val="0"/>
              <w:spacing w:after="0" w:line="480" w:lineRule="auto"/>
              <w:rPr>
                <w:rFonts w:ascii="Arial" w:hAnsi="Arial" w:cs="Arial"/>
                <w:spacing w:val="4"/>
                <w:sz w:val="24"/>
                <w:szCs w:val="24"/>
                <w:lang w:val="pt-BR"/>
              </w:rPr>
            </w:pPr>
          </w:p>
        </w:tc>
      </w:tr>
    </w:tbl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b/>
          <w:bCs/>
          <w:spacing w:val="4"/>
          <w:sz w:val="24"/>
          <w:szCs w:val="24"/>
          <w:lang w:val="pt-BR"/>
        </w:rPr>
      </w:pPr>
    </w:p>
    <w:p w:rsidR="005C3656" w:rsidRPr="00C47A2A" w:rsidRDefault="00DB30BE" w:rsidP="00C47A2A">
      <w:pPr>
        <w:widowControl w:val="0"/>
        <w:spacing w:after="0" w:line="480" w:lineRule="auto"/>
        <w:rPr>
          <w:rFonts w:ascii="Arial" w:hAnsi="Arial" w:cs="Arial"/>
          <w:b/>
          <w:bCs/>
          <w:spacing w:val="4"/>
          <w:sz w:val="24"/>
          <w:szCs w:val="24"/>
          <w:lang w:val="pt-BR"/>
        </w:rPr>
      </w:pPr>
      <w:r w:rsidRPr="00C47A2A">
        <w:rPr>
          <w:rFonts w:ascii="Arial" w:hAnsi="Arial" w:cs="Arial"/>
          <w:b/>
          <w:bCs/>
          <w:spacing w:val="4"/>
          <w:sz w:val="24"/>
          <w:szCs w:val="24"/>
          <w:lang w:val="pt-BR"/>
        </w:rPr>
        <w:t>Referências sobre as variáveis utilizadas:</w:t>
      </w:r>
    </w:p>
    <w:p w:rsidR="00865984" w:rsidRPr="00C47A2A" w:rsidRDefault="00865984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  <w:lang w:val="pt-BR"/>
        </w:rPr>
      </w:pP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Beven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K.J.,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Kirkby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M.J. (1979): A physically-based variable contributing area model of basin hydrology. Hydrology Science Bulletin 24(1), p.43-69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Bock, M.,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Böhner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J., Conrad, O.,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Köthe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R.,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Ringeler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A. (2007): Methods for creating Functional Soil Databases and applying Digital Soil Mapping with SAGA GIS. In: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Hengl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T.,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Panagos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P., Jones, A.,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Toth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G. [Eds.] 2007. Status and prospect of soil information in south-eastern Europe: soil databases, projects and applications. EUR 22646 EN Scientific and Technical Research series, Office for Official Publications of the European Communities, Luxemburg, p.149-162</w:t>
      </w:r>
    </w:p>
    <w:p w:rsidR="005C3656" w:rsidRPr="00C47A2A" w:rsidRDefault="005C3656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Bock, M.,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Köthe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R.: Predicting the Depth of hydromorphic Soil Characteristics influenced by Ground Water. In: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Böhner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J.,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Blaschke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T.,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Montanarella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L. [Eds.] (2008): SAGA – Seconds Out. Hamburger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Beiträge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zur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Physischen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Geographie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und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Landschaftsökologie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Vol.19, 113pp. p. 13-22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Boehner, J.,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Selige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T. (2006): Spatial Prediction of Soil Attributes Using Terrain Analysis and Climate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Regionalisation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'. In: Boehner, J.,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McCloy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K.R.,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Strobl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J.: 'SAGA – Analysis and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Modelling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Applications',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Goettinger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Geographische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Abhandlungen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Vol.115, p.13-27</w:t>
      </w:r>
    </w:p>
    <w:p w:rsidR="003A7A90" w:rsidRPr="00C47A2A" w:rsidRDefault="003A7A90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lastRenderedPageBreak/>
        <w:t xml:space="preserve">Boehner, J.,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Antonic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O. (2009): 'Land-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suface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parameters specific to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topo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-climatology'.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in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: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Hengl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T., Reuter, H. (Eds.): '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Geomorphometry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- Concepts, Software, Applications', </w:t>
      </w:r>
      <w:r w:rsidRPr="005C59BA">
        <w:rPr>
          <w:rStyle w:val="Forte"/>
          <w:rFonts w:ascii="Arial" w:hAnsi="Arial" w:cs="Arial"/>
          <w:b w:val="0"/>
          <w:spacing w:val="4"/>
          <w:sz w:val="24"/>
          <w:szCs w:val="24"/>
        </w:rPr>
        <w:t>Developments in Soil Science series,</w:t>
      </w:r>
      <w:r w:rsidRPr="00C47A2A">
        <w:rPr>
          <w:rFonts w:ascii="Arial" w:hAnsi="Arial" w:cs="Arial"/>
          <w:spacing w:val="4"/>
          <w:sz w:val="24"/>
          <w:szCs w:val="24"/>
        </w:rPr>
        <w:t xml:space="preserve"> volume 33.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Elsevier.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772p. 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>Freeman, G.T. (1991): 'Calculating catchment area with divergent flow based on a regular grid',</w:t>
      </w:r>
      <w:r w:rsidR="003A7A90"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r w:rsidRPr="00C47A2A">
        <w:rPr>
          <w:rFonts w:ascii="Arial" w:hAnsi="Arial" w:cs="Arial"/>
          <w:spacing w:val="4"/>
          <w:sz w:val="24"/>
          <w:szCs w:val="24"/>
        </w:rPr>
        <w:t>Computers and Geosciences, 17:413-22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Conrad, O.,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Krüger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J.P., Bock, M.,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Gerold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G. (2006): Soil Degradation Risk Assessment Integrating Terrain Analysis and Soil Spatial Prediction Methods.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 xml:space="preserve">Proceedings of the International Conference "Soil and Desertification - Integrated Research for the Sustainable Management of Soils in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Drylands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", 5-6 May 2006, Hamburg, Germany.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Internet-Publication edited by the Coordination of Desert*Net Germany.</w:t>
      </w:r>
    </w:p>
    <w:p w:rsidR="005C3656" w:rsidRPr="00C47A2A" w:rsidRDefault="00865984" w:rsidP="00C47A2A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 xml:space="preserve">Gruber, S;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Peckham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S (2008).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Land-Surface parameters and objects in hydrology. In: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Hengl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T; Reuter, H I.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Geomorphometry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. Amsterdam, 171-194.</w:t>
      </w:r>
    </w:p>
    <w:p w:rsidR="003A7A90" w:rsidRPr="00C47A2A" w:rsidRDefault="003A7A90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Hantzschel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J., Goldberg, V.,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Bernhofer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C. (2005): 'GIS-based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regionalisation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of radiation, temperature and coupling measures in complex terrain for low mountain ranges'. Meteorological Applications, V.12:01, p.33–42, doi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:10.1017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>/S1350482705001489.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Hjerdt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K. N., J. J. McDonnell, J. Seibert, and A.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Rodhe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(2004),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A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new topographic index to quantify downslope controls on local drainage, Water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Resour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. Res., 40, W05602, doi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:10.1029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>/2004WR003130.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Hobson, R.D. 1972. Surface roughness in topography: quantitative approach.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Pages 221–245 in R. J. Chorley, editor.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Spatial analysis in geomorphology.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Harper and Row, New York, New York, USA.</w:t>
      </w:r>
      <w:proofErr w:type="gramEnd"/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Jenness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J. 2011.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DEM Surface Tools v. 2.1.292.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Jenness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Enterprises.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Available at: </w:t>
      </w:r>
      <w:hyperlink r:id="rId32" w:history="1">
        <w:r w:rsidRPr="00C47A2A">
          <w:rPr>
            <w:rStyle w:val="Hyperlink"/>
            <w:rFonts w:ascii="Arial" w:hAnsi="Arial" w:cs="Arial"/>
            <w:spacing w:val="4"/>
            <w:sz w:val="24"/>
            <w:szCs w:val="24"/>
          </w:rPr>
          <w:t>http://www.jennessent.com/arcgis/surface_area.htm</w:t>
        </w:r>
      </w:hyperlink>
      <w:r w:rsidRPr="00C47A2A">
        <w:rPr>
          <w:rFonts w:ascii="Arial" w:hAnsi="Arial" w:cs="Arial"/>
          <w:spacing w:val="4"/>
          <w:sz w:val="24"/>
          <w:szCs w:val="24"/>
        </w:rPr>
        <w:t xml:space="preserve">. </w:t>
      </w:r>
      <w:proofErr w:type="spellStart"/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Acesso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em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5/2/2012.</w:t>
      </w:r>
      <w:proofErr w:type="gramEnd"/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Jochem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, A.;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Wichmann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, V.;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Höfle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, B. Point Cloud based Solar Radiation Modeling. </w:t>
      </w:r>
      <w:r w:rsidRPr="00C47A2A">
        <w:rPr>
          <w:rFonts w:ascii="Arial" w:hAnsi="Arial" w:cs="Arial"/>
          <w:iCs/>
          <w:spacing w:val="4"/>
          <w:sz w:val="24"/>
          <w:szCs w:val="24"/>
        </w:rPr>
        <w:lastRenderedPageBreak/>
        <w:t xml:space="preserve">Hamburger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Beiträge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zur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Physischen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Geographie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 und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Landschaftsökologie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 – Heft 20 / 2009</w:t>
      </w:r>
    </w:p>
    <w:p w:rsidR="00865984" w:rsidRPr="00C47A2A" w:rsidRDefault="000D1CFF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Koethe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R.;</w:t>
      </w:r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Lehmeier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, F. (1996): 'SARA – System 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zur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Automatischen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 Relief-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Analyse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', 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Benutzerhandbuch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, 2. 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Auflage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 [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Geogr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 xml:space="preserve">. Inst. Univ. </w:t>
      </w:r>
      <w:proofErr w:type="spellStart"/>
      <w:r w:rsidR="00865984" w:rsidRPr="00C47A2A">
        <w:rPr>
          <w:rFonts w:ascii="Arial" w:hAnsi="Arial" w:cs="Arial"/>
          <w:spacing w:val="4"/>
          <w:sz w:val="24"/>
          <w:szCs w:val="24"/>
        </w:rPr>
        <w:t>Goettingen</w:t>
      </w:r>
      <w:proofErr w:type="spellEnd"/>
      <w:r w:rsidR="00865984" w:rsidRPr="00C47A2A">
        <w:rPr>
          <w:rFonts w:ascii="Arial" w:hAnsi="Arial" w:cs="Arial"/>
          <w:spacing w:val="4"/>
          <w:sz w:val="24"/>
          <w:szCs w:val="24"/>
        </w:rPr>
        <w:t>, unpublished]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Moore, I.D., Grayson, R.B.,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Ladson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, A.R. (1991): 'Digital terrain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modelling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: a review of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hydrogical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geomorphological, and biological applications' Hydrological Processes, Vol.5, No.1.</w:t>
      </w:r>
    </w:p>
    <w:p w:rsidR="005C3656" w:rsidRPr="00C47A2A" w:rsidRDefault="005C3656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Moeller, M., Volk, M., Friedrich, K.,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Lymburner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L. (2008): Placing soil-genesis and transport processes into a landscape context: A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multiscale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terrain-analysis approach. Journal of Plant Nutrition and Soil Science, 171, pp. 419-430, DOI: 10.1002/jpln.200625039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Nobre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A.D.,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Cuartas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L.A.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Hodnett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M.,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Rennó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C.D., Rodrigues, G.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Silveira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A., Waterloo, M.,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Saleska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S. (2011): Height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Above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the Nearest Drainage – a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hydrologically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relevant new terrain model.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Journal of Hydrology.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Vol. 404, Issues 1-2, pp. 13-29.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ISSN 0022-1694, 10.1016/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j.hydrol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2011.03.051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iCs/>
          <w:spacing w:val="4"/>
          <w:sz w:val="24"/>
          <w:szCs w:val="24"/>
        </w:rPr>
      </w:pPr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NREL (2002): NREL 2000 - </w:t>
      </w:r>
      <w:proofErr w:type="spellStart"/>
      <w:r w:rsidRPr="00C47A2A">
        <w:rPr>
          <w:rFonts w:ascii="Arial" w:hAnsi="Arial" w:cs="Arial"/>
          <w:iCs/>
          <w:spacing w:val="4"/>
          <w:sz w:val="24"/>
          <w:szCs w:val="24"/>
        </w:rPr>
        <w:t>Solpos</w:t>
      </w:r>
      <w:proofErr w:type="spellEnd"/>
      <w:r w:rsidRPr="00C47A2A">
        <w:rPr>
          <w:rFonts w:ascii="Arial" w:hAnsi="Arial" w:cs="Arial"/>
          <w:iCs/>
          <w:spacing w:val="4"/>
          <w:sz w:val="24"/>
          <w:szCs w:val="24"/>
        </w:rPr>
        <w:t xml:space="preserve"> Documentation, National Renewable Energy Laboratory, Center for Renewable Energy Resources Renewable Resource Data Center.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O’Callaghan, J.F. 1984: Extraction of drainage networks from digital elevation data.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Computer Vision, Graphics and Image Processing, 28-323-344.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</w:p>
    <w:p w:rsidR="003A7A90" w:rsidRPr="00C47A2A" w:rsidRDefault="003A7A90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Oke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T.R. (2000): 'Boundary Layer Climates'.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Taylor &amp; Francis, New York.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435pp.</w:t>
      </w:r>
    </w:p>
    <w:p w:rsidR="00865984" w:rsidRPr="00C47A2A" w:rsidRDefault="00865984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Quinn, P.F.,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Beven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K.J.,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Chevallier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P.,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Planchon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O. (1991): The prediction of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hillslope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flow paths for distributed hydrological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modelling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using digital terrain models. Hydrological Processes, 5:59-79</w:t>
      </w:r>
    </w:p>
    <w:p w:rsidR="005C3656" w:rsidRPr="00C47A2A" w:rsidRDefault="005C3656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 xml:space="preserve">Riley, S. J., S. D.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DeGloria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 and R. Elliot (1999).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A terrain ruggedness index that quantifies topographic heterogeneity, Intermountain Journal of Sciences, vol. 5, No. 1-</w:t>
      </w:r>
      <w:r w:rsidRPr="00C47A2A">
        <w:rPr>
          <w:rFonts w:ascii="Arial" w:hAnsi="Arial" w:cs="Arial"/>
          <w:spacing w:val="4"/>
          <w:sz w:val="24"/>
          <w:szCs w:val="24"/>
        </w:rPr>
        <w:lastRenderedPageBreak/>
        <w:t>4, 1999.</w:t>
      </w:r>
      <w:proofErr w:type="gramEnd"/>
    </w:p>
    <w:p w:rsidR="003A7A90" w:rsidRPr="00C47A2A" w:rsidRDefault="005C3656" w:rsidP="00C47A2A">
      <w:pPr>
        <w:widowControl w:val="0"/>
        <w:spacing w:after="0" w:line="480" w:lineRule="auto"/>
        <w:jc w:val="both"/>
        <w:rPr>
          <w:rFonts w:ascii="Arial" w:hAnsi="Arial" w:cs="Arial"/>
          <w:color w:val="0000FF"/>
          <w:spacing w:val="4"/>
          <w:sz w:val="24"/>
          <w:szCs w:val="24"/>
          <w:u w:val="single"/>
        </w:rPr>
      </w:pPr>
      <w:r w:rsidRPr="00C47A2A">
        <w:rPr>
          <w:rFonts w:ascii="Arial" w:hAnsi="Arial" w:cs="Arial"/>
          <w:spacing w:val="4"/>
          <w:sz w:val="24"/>
          <w:szCs w:val="24"/>
        </w:rPr>
        <w:t xml:space="preserve">Sappington, J.M.,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Longshore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K.M., Thompson, D.B. (2007): Quantifying Landscape Ruggedness for Animal Habitat Analysis: A Case Study Using Bighorn Sheep in the Mojave Desert. Journal of Wildlife Management 71(5):1419–1426. </w:t>
      </w:r>
      <w:hyperlink r:id="rId33" w:history="1">
        <w:r w:rsidRPr="00C47A2A">
          <w:rPr>
            <w:rStyle w:val="Hyperlink"/>
            <w:rFonts w:ascii="Arial" w:hAnsi="Arial" w:cs="Arial"/>
            <w:spacing w:val="4"/>
            <w:sz w:val="24"/>
            <w:szCs w:val="24"/>
          </w:rPr>
          <w:t>http://www.werc.usgs.gov/lasvegas/pdfs/Sappington%20et%20al%20JWM%202007.pdf</w:t>
        </w:r>
      </w:hyperlink>
      <w:r w:rsidR="003A7A90" w:rsidRPr="00C47A2A">
        <w:rPr>
          <w:rFonts w:ascii="Arial" w:hAnsi="Arial" w:cs="Arial"/>
          <w:spacing w:val="4"/>
          <w:sz w:val="24"/>
          <w:szCs w:val="24"/>
        </w:rPr>
        <w:t xml:space="preserve">. </w:t>
      </w:r>
      <w:proofErr w:type="spellStart"/>
      <w:proofErr w:type="gramStart"/>
      <w:r w:rsidR="003A7A90" w:rsidRPr="00C47A2A">
        <w:rPr>
          <w:rFonts w:ascii="Arial" w:hAnsi="Arial" w:cs="Arial"/>
          <w:spacing w:val="4"/>
          <w:sz w:val="24"/>
          <w:szCs w:val="24"/>
        </w:rPr>
        <w:t>Acesso</w:t>
      </w:r>
      <w:proofErr w:type="spellEnd"/>
      <w:r w:rsidR="003A7A90" w:rsidRPr="00C47A2A">
        <w:rPr>
          <w:rFonts w:ascii="Arial" w:hAnsi="Arial" w:cs="Arial"/>
          <w:spacing w:val="4"/>
          <w:sz w:val="24"/>
          <w:szCs w:val="24"/>
        </w:rPr>
        <w:t xml:space="preserve"> </w:t>
      </w:r>
      <w:proofErr w:type="spellStart"/>
      <w:r w:rsidR="003A7A90" w:rsidRPr="00C47A2A">
        <w:rPr>
          <w:rFonts w:ascii="Arial" w:hAnsi="Arial" w:cs="Arial"/>
          <w:spacing w:val="4"/>
          <w:sz w:val="24"/>
          <w:szCs w:val="24"/>
        </w:rPr>
        <w:t>em</w:t>
      </w:r>
      <w:proofErr w:type="spellEnd"/>
      <w:r w:rsidR="003A7A90" w:rsidRPr="00C47A2A">
        <w:rPr>
          <w:rFonts w:ascii="Arial" w:hAnsi="Arial" w:cs="Arial"/>
          <w:spacing w:val="4"/>
          <w:sz w:val="24"/>
          <w:szCs w:val="24"/>
        </w:rPr>
        <w:t xml:space="preserve"> 5/2/2012.</w:t>
      </w:r>
      <w:proofErr w:type="gramEnd"/>
    </w:p>
    <w:p w:rsidR="003A7A90" w:rsidRPr="00C47A2A" w:rsidRDefault="003A7A90" w:rsidP="00C47A2A">
      <w:pPr>
        <w:widowControl w:val="0"/>
        <w:spacing w:after="0" w:line="480" w:lineRule="auto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Zakšek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 xml:space="preserve">, K.;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Oštir</w:t>
      </w:r>
      <w:proofErr w:type="spellEnd"/>
      <w:r w:rsidRPr="00C47A2A">
        <w:rPr>
          <w:rFonts w:ascii="Arial" w:hAnsi="Arial" w:cs="Arial"/>
          <w:spacing w:val="4"/>
          <w:sz w:val="24"/>
          <w:szCs w:val="24"/>
        </w:rPr>
        <w:t>, K.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 xml:space="preserve">;  </w:t>
      </w:r>
      <w:proofErr w:type="spellStart"/>
      <w:r w:rsidRPr="00C47A2A">
        <w:rPr>
          <w:rFonts w:ascii="Arial" w:hAnsi="Arial" w:cs="Arial"/>
          <w:spacing w:val="4"/>
          <w:sz w:val="24"/>
          <w:szCs w:val="24"/>
        </w:rPr>
        <w:t>Kokalj</w:t>
      </w:r>
      <w:proofErr w:type="spellEnd"/>
      <w:proofErr w:type="gramEnd"/>
      <w:r w:rsidRPr="00C47A2A">
        <w:rPr>
          <w:rFonts w:ascii="Arial" w:hAnsi="Arial" w:cs="Arial"/>
          <w:spacing w:val="4"/>
          <w:sz w:val="24"/>
          <w:szCs w:val="24"/>
        </w:rPr>
        <w:t>, Ž. Sky-View Factor as a Relief Visualization Technique. Remote Sens. 2011, 3, 398-415; doi</w:t>
      </w:r>
      <w:proofErr w:type="gramStart"/>
      <w:r w:rsidRPr="00C47A2A">
        <w:rPr>
          <w:rFonts w:ascii="Arial" w:hAnsi="Arial" w:cs="Arial"/>
          <w:spacing w:val="4"/>
          <w:sz w:val="24"/>
          <w:szCs w:val="24"/>
        </w:rPr>
        <w:t>:10.3390</w:t>
      </w:r>
      <w:proofErr w:type="gramEnd"/>
      <w:r w:rsidRPr="00C47A2A">
        <w:rPr>
          <w:rFonts w:ascii="Arial" w:hAnsi="Arial" w:cs="Arial"/>
          <w:spacing w:val="4"/>
          <w:sz w:val="24"/>
          <w:szCs w:val="24"/>
        </w:rPr>
        <w:t>/rs3020398</w:t>
      </w:r>
    </w:p>
    <w:p w:rsidR="003A7A90" w:rsidRPr="00C47A2A" w:rsidRDefault="003A7A90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b/>
          <w:bCs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iCs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p w:rsidR="005C3656" w:rsidRPr="00C47A2A" w:rsidRDefault="005C3656" w:rsidP="00C47A2A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spacing w:val="4"/>
          <w:sz w:val="24"/>
          <w:szCs w:val="24"/>
        </w:rPr>
      </w:pPr>
    </w:p>
    <w:sectPr w:rsidR="005C3656" w:rsidRPr="00C47A2A" w:rsidSect="005C3656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2A5" w:rsidRDefault="000C32A5" w:rsidP="0020494C">
      <w:pPr>
        <w:spacing w:after="0" w:line="240" w:lineRule="auto"/>
      </w:pPr>
      <w:r>
        <w:separator/>
      </w:r>
    </w:p>
  </w:endnote>
  <w:endnote w:type="continuationSeparator" w:id="0">
    <w:p w:rsidR="000C32A5" w:rsidRDefault="000C32A5" w:rsidP="0020494C">
      <w:pPr>
        <w:spacing w:after="0" w:line="240" w:lineRule="auto"/>
      </w:pPr>
      <w:r>
        <w:continuationSeparator/>
      </w:r>
    </w:p>
  </w:endnote>
  <w:endnote w:type="continuationNotice" w:id="1">
    <w:p w:rsidR="000C32A5" w:rsidRDefault="000C32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252" w:rsidRDefault="00A142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2A5" w:rsidRDefault="000C32A5" w:rsidP="0020494C">
      <w:pPr>
        <w:spacing w:after="0" w:line="240" w:lineRule="auto"/>
      </w:pPr>
      <w:r>
        <w:separator/>
      </w:r>
    </w:p>
  </w:footnote>
  <w:footnote w:type="continuationSeparator" w:id="0">
    <w:p w:rsidR="000C32A5" w:rsidRDefault="000C32A5" w:rsidP="0020494C">
      <w:pPr>
        <w:spacing w:after="0" w:line="240" w:lineRule="auto"/>
      </w:pPr>
      <w:r>
        <w:continuationSeparator/>
      </w:r>
    </w:p>
  </w:footnote>
  <w:footnote w:type="continuationNotice" w:id="1">
    <w:p w:rsidR="000C32A5" w:rsidRDefault="000C32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252" w:rsidRDefault="00A142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78"/>
    <w:rsid w:val="000016A3"/>
    <w:rsid w:val="00002B92"/>
    <w:rsid w:val="00002E25"/>
    <w:rsid w:val="000153ED"/>
    <w:rsid w:val="00021CC4"/>
    <w:rsid w:val="00022FEB"/>
    <w:rsid w:val="00031092"/>
    <w:rsid w:val="00035CE4"/>
    <w:rsid w:val="00055EEA"/>
    <w:rsid w:val="000572C1"/>
    <w:rsid w:val="000646CB"/>
    <w:rsid w:val="00071158"/>
    <w:rsid w:val="000732F8"/>
    <w:rsid w:val="00076AA4"/>
    <w:rsid w:val="00077766"/>
    <w:rsid w:val="000B5B49"/>
    <w:rsid w:val="000C32A5"/>
    <w:rsid w:val="000D1CFF"/>
    <w:rsid w:val="00107353"/>
    <w:rsid w:val="00131ED2"/>
    <w:rsid w:val="00132313"/>
    <w:rsid w:val="0013492D"/>
    <w:rsid w:val="00160F1C"/>
    <w:rsid w:val="00163BA5"/>
    <w:rsid w:val="00166551"/>
    <w:rsid w:val="00170E5F"/>
    <w:rsid w:val="00174F67"/>
    <w:rsid w:val="00182637"/>
    <w:rsid w:val="001931D6"/>
    <w:rsid w:val="00196059"/>
    <w:rsid w:val="00196791"/>
    <w:rsid w:val="001B567D"/>
    <w:rsid w:val="001C2383"/>
    <w:rsid w:val="001D26BF"/>
    <w:rsid w:val="001D2D7A"/>
    <w:rsid w:val="001E00CE"/>
    <w:rsid w:val="001F26B5"/>
    <w:rsid w:val="001F38B7"/>
    <w:rsid w:val="0020494C"/>
    <w:rsid w:val="00213B95"/>
    <w:rsid w:val="00221D9A"/>
    <w:rsid w:val="00221EE8"/>
    <w:rsid w:val="0022400A"/>
    <w:rsid w:val="00235E7F"/>
    <w:rsid w:val="00255144"/>
    <w:rsid w:val="002625B6"/>
    <w:rsid w:val="002626DB"/>
    <w:rsid w:val="00264046"/>
    <w:rsid w:val="0027158B"/>
    <w:rsid w:val="002744E1"/>
    <w:rsid w:val="00276B14"/>
    <w:rsid w:val="0027708C"/>
    <w:rsid w:val="0028155A"/>
    <w:rsid w:val="00294DC0"/>
    <w:rsid w:val="002A6AC0"/>
    <w:rsid w:val="002B1FAE"/>
    <w:rsid w:val="002B1FE6"/>
    <w:rsid w:val="002C5722"/>
    <w:rsid w:val="002C7FFC"/>
    <w:rsid w:val="002D464D"/>
    <w:rsid w:val="002D6203"/>
    <w:rsid w:val="002E344A"/>
    <w:rsid w:val="002F0815"/>
    <w:rsid w:val="002F3CF5"/>
    <w:rsid w:val="00314F00"/>
    <w:rsid w:val="003213DE"/>
    <w:rsid w:val="00323AD4"/>
    <w:rsid w:val="00324A32"/>
    <w:rsid w:val="003363A8"/>
    <w:rsid w:val="00345B51"/>
    <w:rsid w:val="00351E38"/>
    <w:rsid w:val="00364464"/>
    <w:rsid w:val="003669EE"/>
    <w:rsid w:val="00380CA8"/>
    <w:rsid w:val="00385950"/>
    <w:rsid w:val="00394415"/>
    <w:rsid w:val="00397010"/>
    <w:rsid w:val="003A0C34"/>
    <w:rsid w:val="003A5B6D"/>
    <w:rsid w:val="003A7A90"/>
    <w:rsid w:val="003C1B2B"/>
    <w:rsid w:val="003C3F5E"/>
    <w:rsid w:val="003C6014"/>
    <w:rsid w:val="003F2B30"/>
    <w:rsid w:val="003F3B94"/>
    <w:rsid w:val="003F680E"/>
    <w:rsid w:val="00403F33"/>
    <w:rsid w:val="00404C76"/>
    <w:rsid w:val="004057FF"/>
    <w:rsid w:val="0040670E"/>
    <w:rsid w:val="00407050"/>
    <w:rsid w:val="00410FDB"/>
    <w:rsid w:val="00411600"/>
    <w:rsid w:val="00413109"/>
    <w:rsid w:val="004152CC"/>
    <w:rsid w:val="00441019"/>
    <w:rsid w:val="00450C85"/>
    <w:rsid w:val="00454A85"/>
    <w:rsid w:val="0045696E"/>
    <w:rsid w:val="00460E6B"/>
    <w:rsid w:val="00470B40"/>
    <w:rsid w:val="00472D6B"/>
    <w:rsid w:val="0047522F"/>
    <w:rsid w:val="004868FA"/>
    <w:rsid w:val="00487AA5"/>
    <w:rsid w:val="004904FD"/>
    <w:rsid w:val="004A1947"/>
    <w:rsid w:val="004A392D"/>
    <w:rsid w:val="004B5CDC"/>
    <w:rsid w:val="004B60D3"/>
    <w:rsid w:val="004B6B40"/>
    <w:rsid w:val="004C2EFD"/>
    <w:rsid w:val="004D47C2"/>
    <w:rsid w:val="004F79B7"/>
    <w:rsid w:val="00504BD8"/>
    <w:rsid w:val="0050620A"/>
    <w:rsid w:val="005139C8"/>
    <w:rsid w:val="005246FF"/>
    <w:rsid w:val="00543979"/>
    <w:rsid w:val="00543B71"/>
    <w:rsid w:val="00545B3F"/>
    <w:rsid w:val="0055217D"/>
    <w:rsid w:val="00562AF4"/>
    <w:rsid w:val="00571062"/>
    <w:rsid w:val="005748BA"/>
    <w:rsid w:val="00575005"/>
    <w:rsid w:val="0059233D"/>
    <w:rsid w:val="005A394F"/>
    <w:rsid w:val="005A3BDB"/>
    <w:rsid w:val="005A54D1"/>
    <w:rsid w:val="005A6F01"/>
    <w:rsid w:val="005B6ABE"/>
    <w:rsid w:val="005C2AB6"/>
    <w:rsid w:val="005C3656"/>
    <w:rsid w:val="005C59BA"/>
    <w:rsid w:val="005D3F0E"/>
    <w:rsid w:val="005E0694"/>
    <w:rsid w:val="005E3984"/>
    <w:rsid w:val="005F2AC1"/>
    <w:rsid w:val="006003DC"/>
    <w:rsid w:val="00600FE9"/>
    <w:rsid w:val="00606FE2"/>
    <w:rsid w:val="00627137"/>
    <w:rsid w:val="0064274D"/>
    <w:rsid w:val="00644CC8"/>
    <w:rsid w:val="0064759C"/>
    <w:rsid w:val="006567C2"/>
    <w:rsid w:val="00656A0C"/>
    <w:rsid w:val="006575C2"/>
    <w:rsid w:val="0069304E"/>
    <w:rsid w:val="00694B2D"/>
    <w:rsid w:val="006C5925"/>
    <w:rsid w:val="006C756D"/>
    <w:rsid w:val="006D63EB"/>
    <w:rsid w:val="006D6F60"/>
    <w:rsid w:val="006E5D3A"/>
    <w:rsid w:val="007019E5"/>
    <w:rsid w:val="00704960"/>
    <w:rsid w:val="00710B62"/>
    <w:rsid w:val="00712863"/>
    <w:rsid w:val="00717A6B"/>
    <w:rsid w:val="007200C2"/>
    <w:rsid w:val="00722159"/>
    <w:rsid w:val="0072248A"/>
    <w:rsid w:val="00724729"/>
    <w:rsid w:val="00732FAD"/>
    <w:rsid w:val="00736C03"/>
    <w:rsid w:val="00744DC2"/>
    <w:rsid w:val="007501C4"/>
    <w:rsid w:val="007513AF"/>
    <w:rsid w:val="00752935"/>
    <w:rsid w:val="00764747"/>
    <w:rsid w:val="0076773B"/>
    <w:rsid w:val="0077141E"/>
    <w:rsid w:val="00782A70"/>
    <w:rsid w:val="00785137"/>
    <w:rsid w:val="00793BDF"/>
    <w:rsid w:val="007A00BD"/>
    <w:rsid w:val="007A277B"/>
    <w:rsid w:val="007B7B59"/>
    <w:rsid w:val="007C2E5A"/>
    <w:rsid w:val="007C478D"/>
    <w:rsid w:val="007C6338"/>
    <w:rsid w:val="007C67CC"/>
    <w:rsid w:val="007C6915"/>
    <w:rsid w:val="007D418D"/>
    <w:rsid w:val="007E2EE5"/>
    <w:rsid w:val="007F3FB2"/>
    <w:rsid w:val="007F7EF5"/>
    <w:rsid w:val="0080166A"/>
    <w:rsid w:val="0080373A"/>
    <w:rsid w:val="00810456"/>
    <w:rsid w:val="008179F9"/>
    <w:rsid w:val="00824AE8"/>
    <w:rsid w:val="00825084"/>
    <w:rsid w:val="00826689"/>
    <w:rsid w:val="00827C26"/>
    <w:rsid w:val="00830EFA"/>
    <w:rsid w:val="00831274"/>
    <w:rsid w:val="00836614"/>
    <w:rsid w:val="00842AEB"/>
    <w:rsid w:val="00851117"/>
    <w:rsid w:val="008513F6"/>
    <w:rsid w:val="008639FF"/>
    <w:rsid w:val="00865984"/>
    <w:rsid w:val="0087405C"/>
    <w:rsid w:val="00897B75"/>
    <w:rsid w:val="008B5BF0"/>
    <w:rsid w:val="008C1BB7"/>
    <w:rsid w:val="008C26E2"/>
    <w:rsid w:val="008D1C79"/>
    <w:rsid w:val="008D5AA4"/>
    <w:rsid w:val="008D63BA"/>
    <w:rsid w:val="008F06BB"/>
    <w:rsid w:val="008F1890"/>
    <w:rsid w:val="008F1985"/>
    <w:rsid w:val="008F28D4"/>
    <w:rsid w:val="008F4DDA"/>
    <w:rsid w:val="009040C2"/>
    <w:rsid w:val="00905878"/>
    <w:rsid w:val="009079E2"/>
    <w:rsid w:val="009247CB"/>
    <w:rsid w:val="00925342"/>
    <w:rsid w:val="00952C59"/>
    <w:rsid w:val="00953C67"/>
    <w:rsid w:val="00975447"/>
    <w:rsid w:val="00980AB6"/>
    <w:rsid w:val="0098731B"/>
    <w:rsid w:val="009A217D"/>
    <w:rsid w:val="009A5243"/>
    <w:rsid w:val="009A7C30"/>
    <w:rsid w:val="009B3BED"/>
    <w:rsid w:val="009C3E75"/>
    <w:rsid w:val="009D2FCB"/>
    <w:rsid w:val="009D3B5A"/>
    <w:rsid w:val="009D5B8D"/>
    <w:rsid w:val="009E4645"/>
    <w:rsid w:val="009E7221"/>
    <w:rsid w:val="009F74D8"/>
    <w:rsid w:val="00A046A8"/>
    <w:rsid w:val="00A10CA7"/>
    <w:rsid w:val="00A14252"/>
    <w:rsid w:val="00A14456"/>
    <w:rsid w:val="00A20392"/>
    <w:rsid w:val="00A204D0"/>
    <w:rsid w:val="00A235B0"/>
    <w:rsid w:val="00A270E3"/>
    <w:rsid w:val="00A305CD"/>
    <w:rsid w:val="00A66081"/>
    <w:rsid w:val="00A77B83"/>
    <w:rsid w:val="00A86924"/>
    <w:rsid w:val="00A918B5"/>
    <w:rsid w:val="00A9662D"/>
    <w:rsid w:val="00AA26CC"/>
    <w:rsid w:val="00AB0E8C"/>
    <w:rsid w:val="00AB2BC9"/>
    <w:rsid w:val="00AC3462"/>
    <w:rsid w:val="00AD06F8"/>
    <w:rsid w:val="00AE78E4"/>
    <w:rsid w:val="00AF0BD3"/>
    <w:rsid w:val="00AF2057"/>
    <w:rsid w:val="00B02528"/>
    <w:rsid w:val="00B10114"/>
    <w:rsid w:val="00B113C0"/>
    <w:rsid w:val="00B16470"/>
    <w:rsid w:val="00B16ED1"/>
    <w:rsid w:val="00B3389F"/>
    <w:rsid w:val="00B342EB"/>
    <w:rsid w:val="00B40D74"/>
    <w:rsid w:val="00B43E27"/>
    <w:rsid w:val="00B51E9E"/>
    <w:rsid w:val="00B526D2"/>
    <w:rsid w:val="00B56725"/>
    <w:rsid w:val="00B56FD1"/>
    <w:rsid w:val="00B739F1"/>
    <w:rsid w:val="00B77710"/>
    <w:rsid w:val="00B8134A"/>
    <w:rsid w:val="00B94C88"/>
    <w:rsid w:val="00B970E9"/>
    <w:rsid w:val="00BA56C5"/>
    <w:rsid w:val="00BA69FA"/>
    <w:rsid w:val="00BB381C"/>
    <w:rsid w:val="00BF1FD6"/>
    <w:rsid w:val="00BF25E5"/>
    <w:rsid w:val="00C20E3A"/>
    <w:rsid w:val="00C312E5"/>
    <w:rsid w:val="00C33481"/>
    <w:rsid w:val="00C34A62"/>
    <w:rsid w:val="00C404BD"/>
    <w:rsid w:val="00C40898"/>
    <w:rsid w:val="00C40DE0"/>
    <w:rsid w:val="00C47A2A"/>
    <w:rsid w:val="00C50100"/>
    <w:rsid w:val="00C51FE6"/>
    <w:rsid w:val="00C647ED"/>
    <w:rsid w:val="00C64ACA"/>
    <w:rsid w:val="00C70A10"/>
    <w:rsid w:val="00C70B3B"/>
    <w:rsid w:val="00C81EEE"/>
    <w:rsid w:val="00C84084"/>
    <w:rsid w:val="00CA795C"/>
    <w:rsid w:val="00CB0744"/>
    <w:rsid w:val="00CB1672"/>
    <w:rsid w:val="00CB471F"/>
    <w:rsid w:val="00CB7803"/>
    <w:rsid w:val="00CD2BD5"/>
    <w:rsid w:val="00CD5555"/>
    <w:rsid w:val="00CD58D8"/>
    <w:rsid w:val="00CF3962"/>
    <w:rsid w:val="00D00D17"/>
    <w:rsid w:val="00D24E8F"/>
    <w:rsid w:val="00D505D1"/>
    <w:rsid w:val="00D543A8"/>
    <w:rsid w:val="00D712C3"/>
    <w:rsid w:val="00D761EA"/>
    <w:rsid w:val="00D845A4"/>
    <w:rsid w:val="00D93219"/>
    <w:rsid w:val="00D94BD8"/>
    <w:rsid w:val="00D95119"/>
    <w:rsid w:val="00D958DB"/>
    <w:rsid w:val="00DA1160"/>
    <w:rsid w:val="00DB30BE"/>
    <w:rsid w:val="00DB3ABF"/>
    <w:rsid w:val="00DD1EC8"/>
    <w:rsid w:val="00DE2708"/>
    <w:rsid w:val="00DE537D"/>
    <w:rsid w:val="00DE7109"/>
    <w:rsid w:val="00DF5882"/>
    <w:rsid w:val="00E02FC6"/>
    <w:rsid w:val="00E12AB8"/>
    <w:rsid w:val="00E34963"/>
    <w:rsid w:val="00E4447D"/>
    <w:rsid w:val="00E5101D"/>
    <w:rsid w:val="00E62CE4"/>
    <w:rsid w:val="00E64512"/>
    <w:rsid w:val="00E67C6D"/>
    <w:rsid w:val="00E8060F"/>
    <w:rsid w:val="00E86AA3"/>
    <w:rsid w:val="00E93913"/>
    <w:rsid w:val="00EB275A"/>
    <w:rsid w:val="00EC0C6D"/>
    <w:rsid w:val="00EC77D2"/>
    <w:rsid w:val="00ED3D29"/>
    <w:rsid w:val="00EE096C"/>
    <w:rsid w:val="00EE4CA7"/>
    <w:rsid w:val="00EF1022"/>
    <w:rsid w:val="00F023F0"/>
    <w:rsid w:val="00F02AF8"/>
    <w:rsid w:val="00F14AC7"/>
    <w:rsid w:val="00F20433"/>
    <w:rsid w:val="00F27047"/>
    <w:rsid w:val="00F271E5"/>
    <w:rsid w:val="00F3219E"/>
    <w:rsid w:val="00F47BA6"/>
    <w:rsid w:val="00F50442"/>
    <w:rsid w:val="00F50577"/>
    <w:rsid w:val="00F51173"/>
    <w:rsid w:val="00F540CB"/>
    <w:rsid w:val="00F5773C"/>
    <w:rsid w:val="00F63DC6"/>
    <w:rsid w:val="00F66107"/>
    <w:rsid w:val="00F717E9"/>
    <w:rsid w:val="00F76F9B"/>
    <w:rsid w:val="00F91A36"/>
    <w:rsid w:val="00FC0446"/>
    <w:rsid w:val="00FC0E84"/>
    <w:rsid w:val="00FC5A1E"/>
    <w:rsid w:val="00FF0AEE"/>
    <w:rsid w:val="00FF0CEC"/>
    <w:rsid w:val="00FF15B4"/>
    <w:rsid w:val="00FF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8F1890"/>
    <w:pPr>
      <w:spacing w:after="0" w:line="240" w:lineRule="auto"/>
      <w:jc w:val="center"/>
    </w:pPr>
    <w:rPr>
      <w:rFonts w:ascii="Times New Roman" w:eastAsia="Times New Roman" w:hAnsi="Times New Roman" w:cs="Times New Roman"/>
      <w:bCs/>
      <w:iCs/>
      <w:sz w:val="20"/>
      <w:szCs w:val="24"/>
      <w:lang w:val="en-GB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189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rsid w:val="002049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20494C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semiHidden/>
    <w:rsid w:val="0020494C"/>
    <w:rPr>
      <w:vertAlign w:val="superscript"/>
    </w:rPr>
  </w:style>
  <w:style w:type="table" w:styleId="Tabelacomgrade">
    <w:name w:val="Table Grid"/>
    <w:basedOn w:val="Tabelanormal"/>
    <w:uiPriority w:val="59"/>
    <w:rsid w:val="0020494C"/>
    <w:pPr>
      <w:spacing w:after="0" w:line="240" w:lineRule="auto"/>
    </w:pPr>
    <w:rPr>
      <w:rFonts w:ascii="Calibri" w:eastAsia="Calibri" w:hAnsi="Calibri" w:cs="Times New Roman"/>
      <w:lang w:val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3">
    <w:name w:val="Body Text Indent 3"/>
    <w:basedOn w:val="Normal"/>
    <w:link w:val="Recuodecorpodetexto3Char"/>
    <w:rsid w:val="00980AB6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80AB6"/>
    <w:rPr>
      <w:rFonts w:ascii="Times New Roman" w:eastAsia="Times New Roman" w:hAnsi="Times New Roman" w:cs="Times New Roman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C20E3A"/>
    <w:rPr>
      <w:color w:val="0000FF"/>
      <w:u w:val="single"/>
    </w:rPr>
  </w:style>
  <w:style w:type="paragraph" w:customStyle="1" w:styleId="formula">
    <w:name w:val="formula"/>
    <w:basedOn w:val="Normal"/>
    <w:rsid w:val="00F5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">
    <w:name w:val="bodytext"/>
    <w:basedOn w:val="Normal"/>
    <w:rsid w:val="00F5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Fontepargpadro"/>
    <w:rsid w:val="003213DE"/>
  </w:style>
  <w:style w:type="character" w:customStyle="1" w:styleId="volume">
    <w:name w:val="volume"/>
    <w:basedOn w:val="Fontepargpadro"/>
    <w:rsid w:val="003213DE"/>
  </w:style>
  <w:style w:type="character" w:customStyle="1" w:styleId="issue">
    <w:name w:val="issue"/>
    <w:basedOn w:val="Fontepargpadro"/>
    <w:rsid w:val="003213DE"/>
  </w:style>
  <w:style w:type="character" w:customStyle="1" w:styleId="pages">
    <w:name w:val="pages"/>
    <w:basedOn w:val="Fontepargpadro"/>
    <w:rsid w:val="003213DE"/>
  </w:style>
  <w:style w:type="character" w:styleId="HiperlinkVisitado">
    <w:name w:val="FollowedHyperlink"/>
    <w:basedOn w:val="Fontepargpadro"/>
    <w:uiPriority w:val="99"/>
    <w:semiHidden/>
    <w:unhideWhenUsed/>
    <w:rsid w:val="00221D9A"/>
    <w:rPr>
      <w:color w:val="800080"/>
      <w:u w:val="single"/>
    </w:rPr>
  </w:style>
  <w:style w:type="paragraph" w:customStyle="1" w:styleId="font5">
    <w:name w:val="font5"/>
    <w:basedOn w:val="Normal"/>
    <w:rsid w:val="00221D9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8"/>
      <w:szCs w:val="18"/>
    </w:rPr>
  </w:style>
  <w:style w:type="paragraph" w:customStyle="1" w:styleId="font6">
    <w:name w:val="font6"/>
    <w:basedOn w:val="Normal"/>
    <w:rsid w:val="00221D9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i/>
      <w:iCs/>
      <w:sz w:val="18"/>
      <w:szCs w:val="18"/>
    </w:rPr>
  </w:style>
  <w:style w:type="paragraph" w:customStyle="1" w:styleId="xl65">
    <w:name w:val="xl65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6">
    <w:name w:val="xl66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7">
    <w:name w:val="xl67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8">
    <w:name w:val="xl68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9">
    <w:name w:val="xl69"/>
    <w:basedOn w:val="Normal"/>
    <w:rsid w:val="00221D9A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70">
    <w:name w:val="xl70"/>
    <w:basedOn w:val="Normal"/>
    <w:rsid w:val="00221D9A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71">
    <w:name w:val="xl71"/>
    <w:basedOn w:val="Normal"/>
    <w:rsid w:val="00221D9A"/>
    <w:pPr>
      <w:shd w:val="clear" w:color="000000" w:fill="EBECEB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2">
    <w:name w:val="xl72"/>
    <w:basedOn w:val="Normal"/>
    <w:rsid w:val="00221D9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221D9A"/>
    <w:pPr>
      <w:shd w:val="clear" w:color="000000" w:fill="EBECEB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xl74">
    <w:name w:val="xl74"/>
    <w:basedOn w:val="Normal"/>
    <w:rsid w:val="00221D9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xl75">
    <w:name w:val="xl75"/>
    <w:basedOn w:val="Normal"/>
    <w:rsid w:val="00221D9A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8"/>
      <w:szCs w:val="18"/>
    </w:rPr>
  </w:style>
  <w:style w:type="paragraph" w:customStyle="1" w:styleId="xl76">
    <w:name w:val="xl76"/>
    <w:basedOn w:val="Normal"/>
    <w:rsid w:val="00221D9A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8"/>
      <w:szCs w:val="18"/>
    </w:rPr>
  </w:style>
  <w:style w:type="paragraph" w:customStyle="1" w:styleId="xl77">
    <w:name w:val="xl77"/>
    <w:basedOn w:val="Normal"/>
    <w:rsid w:val="00221D9A"/>
    <w:pPr>
      <w:shd w:val="clear" w:color="000000" w:fill="E3EAE8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221D9A"/>
    <w:pP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18"/>
      <w:szCs w:val="18"/>
    </w:rPr>
  </w:style>
  <w:style w:type="paragraph" w:customStyle="1" w:styleId="xl79">
    <w:name w:val="xl79"/>
    <w:basedOn w:val="Normal"/>
    <w:rsid w:val="00221D9A"/>
    <w:pP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xl80">
    <w:name w:val="xl80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b/>
      <w:bCs/>
      <w:sz w:val="18"/>
      <w:szCs w:val="18"/>
    </w:rPr>
  </w:style>
  <w:style w:type="paragraph" w:customStyle="1" w:styleId="xl81">
    <w:name w:val="xl81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b/>
      <w:bCs/>
      <w:color w:val="000000"/>
      <w:sz w:val="18"/>
      <w:szCs w:val="18"/>
    </w:rPr>
  </w:style>
  <w:style w:type="paragraph" w:customStyle="1" w:styleId="xl83">
    <w:name w:val="xl83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221D9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5C3656"/>
    <w:rPr>
      <w:b/>
      <w:bCs/>
    </w:rPr>
  </w:style>
  <w:style w:type="character" w:customStyle="1" w:styleId="st">
    <w:name w:val="st"/>
    <w:basedOn w:val="Fontepargpadro"/>
    <w:rsid w:val="002B1FAE"/>
  </w:style>
  <w:style w:type="character" w:customStyle="1" w:styleId="pbtoclink">
    <w:name w:val="pb_toc_link"/>
    <w:basedOn w:val="Fontepargpadro"/>
    <w:rsid w:val="002B1FAE"/>
  </w:style>
  <w:style w:type="paragraph" w:styleId="Cabealho">
    <w:name w:val="header"/>
    <w:basedOn w:val="Normal"/>
    <w:link w:val="CabealhoChar"/>
    <w:uiPriority w:val="99"/>
    <w:unhideWhenUsed/>
    <w:rsid w:val="00694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4B2D"/>
  </w:style>
  <w:style w:type="paragraph" w:styleId="Rodap">
    <w:name w:val="footer"/>
    <w:basedOn w:val="Normal"/>
    <w:link w:val="RodapChar"/>
    <w:uiPriority w:val="99"/>
    <w:unhideWhenUsed/>
    <w:rsid w:val="00694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4B2D"/>
  </w:style>
  <w:style w:type="paragraph" w:styleId="Textodenotadefim">
    <w:name w:val="endnote text"/>
    <w:basedOn w:val="Normal"/>
    <w:link w:val="TextodenotadefimChar"/>
    <w:rsid w:val="00DE27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fimChar">
    <w:name w:val="Texto de nota de fim Char"/>
    <w:basedOn w:val="Fontepargpadro"/>
    <w:link w:val="Textodenotadefim"/>
    <w:rsid w:val="00DE2708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fim">
    <w:name w:val="endnote reference"/>
    <w:rsid w:val="00DE270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8F1890"/>
    <w:pPr>
      <w:spacing w:after="0" w:line="240" w:lineRule="auto"/>
      <w:jc w:val="center"/>
    </w:pPr>
    <w:rPr>
      <w:rFonts w:ascii="Times New Roman" w:eastAsia="Times New Roman" w:hAnsi="Times New Roman" w:cs="Times New Roman"/>
      <w:bCs/>
      <w:iCs/>
      <w:sz w:val="20"/>
      <w:szCs w:val="24"/>
      <w:lang w:val="en-GB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189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rsid w:val="002049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20494C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semiHidden/>
    <w:rsid w:val="0020494C"/>
    <w:rPr>
      <w:vertAlign w:val="superscript"/>
    </w:rPr>
  </w:style>
  <w:style w:type="table" w:styleId="Tabelacomgrade">
    <w:name w:val="Table Grid"/>
    <w:basedOn w:val="Tabelanormal"/>
    <w:uiPriority w:val="59"/>
    <w:rsid w:val="0020494C"/>
    <w:pPr>
      <w:spacing w:after="0" w:line="240" w:lineRule="auto"/>
    </w:pPr>
    <w:rPr>
      <w:rFonts w:ascii="Calibri" w:eastAsia="Calibri" w:hAnsi="Calibri" w:cs="Times New Roman"/>
      <w:lang w:val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3">
    <w:name w:val="Body Text Indent 3"/>
    <w:basedOn w:val="Normal"/>
    <w:link w:val="Recuodecorpodetexto3Char"/>
    <w:rsid w:val="00980AB6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80AB6"/>
    <w:rPr>
      <w:rFonts w:ascii="Times New Roman" w:eastAsia="Times New Roman" w:hAnsi="Times New Roman" w:cs="Times New Roman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C20E3A"/>
    <w:rPr>
      <w:color w:val="0000FF"/>
      <w:u w:val="single"/>
    </w:rPr>
  </w:style>
  <w:style w:type="paragraph" w:customStyle="1" w:styleId="formula">
    <w:name w:val="formula"/>
    <w:basedOn w:val="Normal"/>
    <w:rsid w:val="00F5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">
    <w:name w:val="bodytext"/>
    <w:basedOn w:val="Normal"/>
    <w:rsid w:val="00F5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Fontepargpadro"/>
    <w:rsid w:val="003213DE"/>
  </w:style>
  <w:style w:type="character" w:customStyle="1" w:styleId="volume">
    <w:name w:val="volume"/>
    <w:basedOn w:val="Fontepargpadro"/>
    <w:rsid w:val="003213DE"/>
  </w:style>
  <w:style w:type="character" w:customStyle="1" w:styleId="issue">
    <w:name w:val="issue"/>
    <w:basedOn w:val="Fontepargpadro"/>
    <w:rsid w:val="003213DE"/>
  </w:style>
  <w:style w:type="character" w:customStyle="1" w:styleId="pages">
    <w:name w:val="pages"/>
    <w:basedOn w:val="Fontepargpadro"/>
    <w:rsid w:val="003213DE"/>
  </w:style>
  <w:style w:type="character" w:styleId="HiperlinkVisitado">
    <w:name w:val="FollowedHyperlink"/>
    <w:basedOn w:val="Fontepargpadro"/>
    <w:uiPriority w:val="99"/>
    <w:semiHidden/>
    <w:unhideWhenUsed/>
    <w:rsid w:val="00221D9A"/>
    <w:rPr>
      <w:color w:val="800080"/>
      <w:u w:val="single"/>
    </w:rPr>
  </w:style>
  <w:style w:type="paragraph" w:customStyle="1" w:styleId="font5">
    <w:name w:val="font5"/>
    <w:basedOn w:val="Normal"/>
    <w:rsid w:val="00221D9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8"/>
      <w:szCs w:val="18"/>
    </w:rPr>
  </w:style>
  <w:style w:type="paragraph" w:customStyle="1" w:styleId="font6">
    <w:name w:val="font6"/>
    <w:basedOn w:val="Normal"/>
    <w:rsid w:val="00221D9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i/>
      <w:iCs/>
      <w:sz w:val="18"/>
      <w:szCs w:val="18"/>
    </w:rPr>
  </w:style>
  <w:style w:type="paragraph" w:customStyle="1" w:styleId="xl65">
    <w:name w:val="xl65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6">
    <w:name w:val="xl66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7">
    <w:name w:val="xl67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8">
    <w:name w:val="xl68"/>
    <w:basedOn w:val="Normal"/>
    <w:rsid w:val="00221D9A"/>
    <w:pPr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69">
    <w:name w:val="xl69"/>
    <w:basedOn w:val="Normal"/>
    <w:rsid w:val="00221D9A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70">
    <w:name w:val="xl70"/>
    <w:basedOn w:val="Normal"/>
    <w:rsid w:val="00221D9A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</w:rPr>
  </w:style>
  <w:style w:type="paragraph" w:customStyle="1" w:styleId="xl71">
    <w:name w:val="xl71"/>
    <w:basedOn w:val="Normal"/>
    <w:rsid w:val="00221D9A"/>
    <w:pPr>
      <w:shd w:val="clear" w:color="000000" w:fill="EBECEB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2">
    <w:name w:val="xl72"/>
    <w:basedOn w:val="Normal"/>
    <w:rsid w:val="00221D9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221D9A"/>
    <w:pPr>
      <w:shd w:val="clear" w:color="000000" w:fill="EBECEB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xl74">
    <w:name w:val="xl74"/>
    <w:basedOn w:val="Normal"/>
    <w:rsid w:val="00221D9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xl75">
    <w:name w:val="xl75"/>
    <w:basedOn w:val="Normal"/>
    <w:rsid w:val="00221D9A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8"/>
      <w:szCs w:val="18"/>
    </w:rPr>
  </w:style>
  <w:style w:type="paragraph" w:customStyle="1" w:styleId="xl76">
    <w:name w:val="xl76"/>
    <w:basedOn w:val="Normal"/>
    <w:rsid w:val="00221D9A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8"/>
      <w:szCs w:val="18"/>
    </w:rPr>
  </w:style>
  <w:style w:type="paragraph" w:customStyle="1" w:styleId="xl77">
    <w:name w:val="xl77"/>
    <w:basedOn w:val="Normal"/>
    <w:rsid w:val="00221D9A"/>
    <w:pPr>
      <w:shd w:val="clear" w:color="000000" w:fill="E3EAE8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221D9A"/>
    <w:pP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18"/>
      <w:szCs w:val="18"/>
    </w:rPr>
  </w:style>
  <w:style w:type="paragraph" w:customStyle="1" w:styleId="xl79">
    <w:name w:val="xl79"/>
    <w:basedOn w:val="Normal"/>
    <w:rsid w:val="00221D9A"/>
    <w:pP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color w:val="000000"/>
      <w:sz w:val="18"/>
      <w:szCs w:val="18"/>
    </w:rPr>
  </w:style>
  <w:style w:type="paragraph" w:customStyle="1" w:styleId="xl80">
    <w:name w:val="xl80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Verdana" w:eastAsia="Times New Roman" w:hAnsi="Verdana" w:cs="Times New Roman"/>
      <w:b/>
      <w:bCs/>
      <w:sz w:val="18"/>
      <w:szCs w:val="18"/>
    </w:rPr>
  </w:style>
  <w:style w:type="paragraph" w:customStyle="1" w:styleId="xl81">
    <w:name w:val="xl81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b/>
      <w:bCs/>
      <w:color w:val="000000"/>
      <w:sz w:val="18"/>
      <w:szCs w:val="18"/>
    </w:rPr>
  </w:style>
  <w:style w:type="paragraph" w:customStyle="1" w:styleId="xl83">
    <w:name w:val="xl83"/>
    <w:basedOn w:val="Normal"/>
    <w:rsid w:val="00221D9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221D9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5C3656"/>
    <w:rPr>
      <w:b/>
      <w:bCs/>
    </w:rPr>
  </w:style>
  <w:style w:type="character" w:customStyle="1" w:styleId="st">
    <w:name w:val="st"/>
    <w:basedOn w:val="Fontepargpadro"/>
    <w:rsid w:val="002B1FAE"/>
  </w:style>
  <w:style w:type="character" w:customStyle="1" w:styleId="pbtoclink">
    <w:name w:val="pb_toc_link"/>
    <w:basedOn w:val="Fontepargpadro"/>
    <w:rsid w:val="002B1FAE"/>
  </w:style>
  <w:style w:type="paragraph" w:styleId="Cabealho">
    <w:name w:val="header"/>
    <w:basedOn w:val="Normal"/>
    <w:link w:val="CabealhoChar"/>
    <w:uiPriority w:val="99"/>
    <w:unhideWhenUsed/>
    <w:rsid w:val="00694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4B2D"/>
  </w:style>
  <w:style w:type="paragraph" w:styleId="Rodap">
    <w:name w:val="footer"/>
    <w:basedOn w:val="Normal"/>
    <w:link w:val="RodapChar"/>
    <w:uiPriority w:val="99"/>
    <w:unhideWhenUsed/>
    <w:rsid w:val="00694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4B2D"/>
  </w:style>
  <w:style w:type="paragraph" w:styleId="Textodenotadefim">
    <w:name w:val="endnote text"/>
    <w:basedOn w:val="Normal"/>
    <w:link w:val="TextodenotadefimChar"/>
    <w:rsid w:val="00DE27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fimChar">
    <w:name w:val="Texto de nota de fim Char"/>
    <w:basedOn w:val="Fontepargpadro"/>
    <w:link w:val="Textodenotadefim"/>
    <w:rsid w:val="00DE2708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fim">
    <w:name w:val="endnote reference"/>
    <w:rsid w:val="00DE27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www.werc.usgs.gov/lasvegas/pdfs/Sappington%20et%20al%20JWM%202007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://www.jennessent.com/arcgis/surface_area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398DB-A713-4CA3-9130-81CD388AA4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AF34D0-93D1-46AF-BDE5-115A79CA4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2104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User</cp:lastModifiedBy>
  <cp:revision>4</cp:revision>
  <dcterms:created xsi:type="dcterms:W3CDTF">2012-11-25T20:06:00Z</dcterms:created>
  <dcterms:modified xsi:type="dcterms:W3CDTF">2012-11-25T20:07:00Z</dcterms:modified>
</cp:coreProperties>
</file>